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F3" w:rsidRDefault="008452F3" w:rsidP="008452F3"/>
    <w:p w:rsidR="008452F3" w:rsidRDefault="008452F3" w:rsidP="008452F3">
      <w:pPr>
        <w:sectPr w:rsidR="008452F3" w:rsidSect="008452F3">
          <w:headerReference w:type="first" r:id="rId8"/>
          <w:footerReference w:type="first" r:id="rId9"/>
          <w:type w:val="continuous"/>
          <w:pgSz w:w="11906" w:h="16838" w:code="9"/>
          <w:pgMar w:top="5443" w:right="1701" w:bottom="5954" w:left="1701" w:header="1134" w:footer="851" w:gutter="0"/>
          <w:cols w:space="708"/>
          <w:titlePg/>
          <w:docGrid w:linePitch="360"/>
        </w:sectPr>
      </w:pPr>
    </w:p>
    <w:p w:rsidR="00AD6166" w:rsidRPr="00965F7F" w:rsidRDefault="004B1986" w:rsidP="00DA3FE0">
      <w:pPr>
        <w:pStyle w:val="HPRACoverGuidefor"/>
      </w:pPr>
      <w:r>
        <w:t>Medicinal Product Shortages</w:t>
      </w:r>
    </w:p>
    <w:p w:rsidR="004B1986" w:rsidRPr="00D32030" w:rsidRDefault="004B1986" w:rsidP="004B1986">
      <w:pPr>
        <w:pStyle w:val="HPRACoverTitle"/>
        <w:jc w:val="both"/>
        <w:rPr>
          <w:sz w:val="32"/>
          <w:szCs w:val="32"/>
        </w:rPr>
      </w:pPr>
      <w:r>
        <w:rPr>
          <w:sz w:val="32"/>
          <w:szCs w:val="32"/>
        </w:rPr>
        <w:t xml:space="preserve">A framework for a multi-stakeholder approach to handling shortages of human medicinal products </w:t>
      </w:r>
    </w:p>
    <w:p w:rsidR="00D1047B" w:rsidRDefault="00D1047B">
      <w:r>
        <w:br w:type="page"/>
      </w:r>
    </w:p>
    <w:p w:rsidR="00A057AB" w:rsidRDefault="00A057AB" w:rsidP="00A057AB">
      <w:pPr>
        <w:rPr>
          <w:b/>
          <w:color w:val="007041" w:themeColor="accent4"/>
          <w:sz w:val="32"/>
          <w:szCs w:val="32"/>
        </w:rPr>
      </w:pPr>
    </w:p>
    <w:p w:rsidR="00A057AB" w:rsidRPr="00F8046E" w:rsidRDefault="00A057AB" w:rsidP="00A057AB">
      <w:pPr>
        <w:rPr>
          <w:b/>
          <w:color w:val="007041" w:themeColor="accent4"/>
          <w:sz w:val="32"/>
          <w:szCs w:val="32"/>
        </w:rPr>
      </w:pPr>
      <w:r>
        <w:rPr>
          <w:b/>
          <w:color w:val="007041" w:themeColor="accent4"/>
          <w:sz w:val="32"/>
          <w:szCs w:val="32"/>
        </w:rPr>
        <w:t>Supported by:</w:t>
      </w:r>
    </w:p>
    <w:p w:rsidR="00A057AB" w:rsidRPr="00F8046E" w:rsidRDefault="00A057AB" w:rsidP="00A057AB">
      <w:pPr>
        <w:jc w:val="both"/>
        <w:rPr>
          <w:b/>
          <w:color w:val="007041" w:themeColor="accent4"/>
        </w:rPr>
      </w:pPr>
    </w:p>
    <w:p w:rsidR="00A057AB" w:rsidRDefault="00297385">
      <w:pPr>
        <w:rPr>
          <w:rFonts w:ascii="Segoe UI" w:hAnsi="Segoe UI" w:cs="Segoe UI"/>
          <w:b/>
          <w:bCs/>
          <w:color w:val="007041" w:themeColor="accent4"/>
          <w:sz w:val="24"/>
          <w:szCs w:val="24"/>
        </w:rPr>
      </w:pPr>
      <w:r>
        <w:rPr>
          <w:noProof/>
          <w:lang w:eastAsia="en-IE"/>
        </w:rPr>
        <w:drawing>
          <wp:anchor distT="0" distB="0" distL="114300" distR="114300" simplePos="0" relativeHeight="251677696" behindDoc="0" locked="0" layoutInCell="1" allowOverlap="1">
            <wp:simplePos x="0" y="0"/>
            <wp:positionH relativeFrom="column">
              <wp:posOffset>2219960</wp:posOffset>
            </wp:positionH>
            <wp:positionV relativeFrom="page">
              <wp:posOffset>2952750</wp:posOffset>
            </wp:positionV>
            <wp:extent cx="847725" cy="847725"/>
            <wp:effectExtent l="0" t="0" r="9525" b="9525"/>
            <wp:wrapSquare wrapText="bothSides"/>
            <wp:docPr id="25" name="Picture 25" descr="cid:image001.png@01D445F6.CEA2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45F6.CEA220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46E">
        <w:rPr>
          <w:noProof/>
          <w:lang w:eastAsia="en-IE"/>
        </w:rPr>
        <w:drawing>
          <wp:anchor distT="0" distB="0" distL="114300" distR="114300" simplePos="0" relativeHeight="251659264" behindDoc="1" locked="0" layoutInCell="1" allowOverlap="1" wp14:anchorId="12348C69" wp14:editId="04FB46FB">
            <wp:simplePos x="0" y="0"/>
            <wp:positionH relativeFrom="column">
              <wp:posOffset>-418465</wp:posOffset>
            </wp:positionH>
            <wp:positionV relativeFrom="paragraph">
              <wp:posOffset>800100</wp:posOffset>
            </wp:positionV>
            <wp:extent cx="2095500" cy="833120"/>
            <wp:effectExtent l="0" t="0" r="0" b="5080"/>
            <wp:wrapNone/>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095500" cy="833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057AB">
        <w:rPr>
          <w:noProof/>
          <w:lang w:eastAsia="en-IE"/>
        </w:rPr>
        <w:drawing>
          <wp:anchor distT="0" distB="0" distL="114300" distR="114300" simplePos="0" relativeHeight="251660288" behindDoc="1" locked="0" layoutInCell="1" allowOverlap="1" wp14:anchorId="4F4F60A6" wp14:editId="333B9C65">
            <wp:simplePos x="0" y="0"/>
            <wp:positionH relativeFrom="column">
              <wp:posOffset>-418465</wp:posOffset>
            </wp:positionH>
            <wp:positionV relativeFrom="paragraph">
              <wp:posOffset>1835785</wp:posOffset>
            </wp:positionV>
            <wp:extent cx="1181735" cy="52959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735" cy="529590"/>
                    </a:xfrm>
                    <a:prstGeom prst="rect">
                      <a:avLst/>
                    </a:prstGeom>
                    <a:noFill/>
                  </pic:spPr>
                </pic:pic>
              </a:graphicData>
            </a:graphic>
            <wp14:sizeRelH relativeFrom="margin">
              <wp14:pctWidth>0</wp14:pctWidth>
            </wp14:sizeRelH>
            <wp14:sizeRelV relativeFrom="margin">
              <wp14:pctHeight>0</wp14:pctHeight>
            </wp14:sizeRelV>
          </wp:anchor>
        </w:drawing>
      </w:r>
      <w:r w:rsidR="00A057AB">
        <w:rPr>
          <w:noProof/>
          <w:lang w:eastAsia="en-IE"/>
        </w:rPr>
        <w:drawing>
          <wp:anchor distT="0" distB="0" distL="114300" distR="114300" simplePos="0" relativeHeight="251662336" behindDoc="1" locked="0" layoutInCell="1" allowOverlap="1" wp14:anchorId="10EB8B3D" wp14:editId="37494DA5">
            <wp:simplePos x="0" y="0"/>
            <wp:positionH relativeFrom="column">
              <wp:posOffset>-418465</wp:posOffset>
            </wp:positionH>
            <wp:positionV relativeFrom="paragraph">
              <wp:posOffset>3818890</wp:posOffset>
            </wp:positionV>
            <wp:extent cx="6188710" cy="774065"/>
            <wp:effectExtent l="0" t="0" r="254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188710" cy="774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7AB">
        <w:rPr>
          <w:noProof/>
          <w:lang w:eastAsia="en-IE"/>
        </w:rPr>
        <w:drawing>
          <wp:anchor distT="0" distB="0" distL="114300" distR="114300" simplePos="0" relativeHeight="251661312" behindDoc="1" locked="0" layoutInCell="1" allowOverlap="1" wp14:anchorId="36DEAC74" wp14:editId="178AAA7F">
            <wp:simplePos x="0" y="0"/>
            <wp:positionH relativeFrom="column">
              <wp:posOffset>-418465</wp:posOffset>
            </wp:positionH>
            <wp:positionV relativeFrom="paragraph">
              <wp:posOffset>2760535</wp:posOffset>
            </wp:positionV>
            <wp:extent cx="6315075" cy="757555"/>
            <wp:effectExtent l="0" t="0" r="952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5075" cy="757555"/>
                    </a:xfrm>
                    <a:prstGeom prst="rect">
                      <a:avLst/>
                    </a:prstGeom>
                    <a:noFill/>
                  </pic:spPr>
                </pic:pic>
              </a:graphicData>
            </a:graphic>
            <wp14:sizeRelH relativeFrom="margin">
              <wp14:pctWidth>0</wp14:pctWidth>
            </wp14:sizeRelH>
            <wp14:sizeRelV relativeFrom="margin">
              <wp14:pctHeight>0</wp14:pctHeight>
            </wp14:sizeRelV>
          </wp:anchor>
        </w:drawing>
      </w:r>
      <w:r w:rsidR="00A057AB" w:rsidRPr="00F8046E">
        <w:t xml:space="preserve"> </w:t>
      </w:r>
      <w:r w:rsidR="00A057AB">
        <w:br w:type="page"/>
      </w:r>
    </w:p>
    <w:p w:rsidR="00E50FE1" w:rsidRDefault="009C499F" w:rsidP="00DA3FE0">
      <w:pPr>
        <w:pStyle w:val="HPRATOCTitle"/>
      </w:pPr>
      <w:r>
        <w:lastRenderedPageBreak/>
        <w:t>CONTENTS</w:t>
      </w:r>
    </w:p>
    <w:p w:rsidR="001F7219" w:rsidRDefault="001F7219" w:rsidP="00DA3FE0">
      <w:pPr>
        <w:pStyle w:val="HPRATOCTitle"/>
      </w:pPr>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68" w:history="1">
        <w:r w:rsidR="00A057AB" w:rsidRPr="00A057AB">
          <w:rPr>
            <w:rStyle w:val="Hyperlink"/>
            <w:color w:val="auto"/>
          </w:rPr>
          <w:t>GLossary of Terms</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_Toc521497268 \h </w:instrText>
        </w:r>
        <w:r w:rsidR="00A057AB" w:rsidRPr="00A057AB">
          <w:rPr>
            <w:webHidden/>
            <w:color w:val="auto"/>
          </w:rPr>
        </w:r>
        <w:r w:rsidR="00A057AB" w:rsidRPr="00A057AB">
          <w:rPr>
            <w:webHidden/>
            <w:color w:val="auto"/>
          </w:rPr>
          <w:fldChar w:fldCharType="separate"/>
        </w:r>
        <w:r w:rsidR="00A057AB" w:rsidRPr="00A057AB">
          <w:rPr>
            <w:webHidden/>
            <w:color w:val="auto"/>
          </w:rPr>
          <w:t>3</w:t>
        </w:r>
        <w:r w:rsidR="00A057AB" w:rsidRPr="00A057AB">
          <w:rPr>
            <w:webHidden/>
            <w:color w:val="auto"/>
          </w:rPr>
          <w:fldChar w:fldCharType="end"/>
        </w:r>
      </w:hyperlink>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69" w:history="1">
        <w:r w:rsidR="00A057AB" w:rsidRPr="00A057AB">
          <w:rPr>
            <w:rStyle w:val="Hyperlink"/>
            <w:rFonts w:asciiTheme="majorHAnsi" w:hAnsiTheme="majorHAnsi"/>
            <w:color w:val="auto"/>
          </w:rPr>
          <w:t>1</w:t>
        </w:r>
        <w:r w:rsidR="00A057AB" w:rsidRPr="00A057AB">
          <w:rPr>
            <w:rFonts w:asciiTheme="minorHAnsi" w:eastAsiaTheme="minorEastAsia" w:hAnsiTheme="minorHAnsi"/>
            <w:caps w:val="0"/>
            <w:color w:val="auto"/>
            <w:sz w:val="22"/>
            <w:lang w:eastAsia="en-IE"/>
          </w:rPr>
          <w:tab/>
        </w:r>
        <w:r w:rsidR="00A057AB" w:rsidRPr="00A057AB">
          <w:rPr>
            <w:rStyle w:val="Hyperlink"/>
            <w:color w:val="auto"/>
          </w:rPr>
          <w:t>Purpose</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_Toc521497269 \h </w:instrText>
        </w:r>
        <w:r w:rsidR="00A057AB" w:rsidRPr="00A057AB">
          <w:rPr>
            <w:webHidden/>
            <w:color w:val="auto"/>
          </w:rPr>
        </w:r>
        <w:r w:rsidR="00A057AB" w:rsidRPr="00A057AB">
          <w:rPr>
            <w:webHidden/>
            <w:color w:val="auto"/>
          </w:rPr>
          <w:fldChar w:fldCharType="separate"/>
        </w:r>
        <w:r w:rsidR="00A057AB" w:rsidRPr="00A057AB">
          <w:rPr>
            <w:webHidden/>
            <w:color w:val="auto"/>
          </w:rPr>
          <w:t>4</w:t>
        </w:r>
        <w:r w:rsidR="00A057AB" w:rsidRPr="00A057AB">
          <w:rPr>
            <w:webHidden/>
            <w:color w:val="auto"/>
          </w:rPr>
          <w:fldChar w:fldCharType="end"/>
        </w:r>
      </w:hyperlink>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70" w:history="1">
        <w:r w:rsidR="00A057AB" w:rsidRPr="00A057AB">
          <w:rPr>
            <w:rStyle w:val="Hyperlink"/>
            <w:rFonts w:asciiTheme="majorHAnsi" w:hAnsiTheme="majorHAnsi"/>
            <w:color w:val="auto"/>
          </w:rPr>
          <w:t>2</w:t>
        </w:r>
        <w:r w:rsidR="00A057AB" w:rsidRPr="00A057AB">
          <w:rPr>
            <w:rFonts w:asciiTheme="minorHAnsi" w:eastAsiaTheme="minorEastAsia" w:hAnsiTheme="minorHAnsi"/>
            <w:caps w:val="0"/>
            <w:color w:val="auto"/>
            <w:sz w:val="22"/>
            <w:lang w:eastAsia="en-IE"/>
          </w:rPr>
          <w:tab/>
        </w:r>
        <w:r w:rsidR="00A057AB" w:rsidRPr="00A057AB">
          <w:rPr>
            <w:rStyle w:val="Hyperlink"/>
            <w:color w:val="auto"/>
          </w:rPr>
          <w:t>Definition</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_Toc521497270 \h </w:instrText>
        </w:r>
        <w:r w:rsidR="00A057AB" w:rsidRPr="00A057AB">
          <w:rPr>
            <w:webHidden/>
            <w:color w:val="auto"/>
          </w:rPr>
        </w:r>
        <w:r w:rsidR="00A057AB" w:rsidRPr="00A057AB">
          <w:rPr>
            <w:webHidden/>
            <w:color w:val="auto"/>
          </w:rPr>
          <w:fldChar w:fldCharType="separate"/>
        </w:r>
        <w:r w:rsidR="00A057AB" w:rsidRPr="00A057AB">
          <w:rPr>
            <w:webHidden/>
            <w:color w:val="auto"/>
          </w:rPr>
          <w:t>4</w:t>
        </w:r>
        <w:r w:rsidR="00A057AB" w:rsidRPr="00A057AB">
          <w:rPr>
            <w:webHidden/>
            <w:color w:val="auto"/>
          </w:rPr>
          <w:fldChar w:fldCharType="end"/>
        </w:r>
      </w:hyperlink>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71" w:history="1">
        <w:r w:rsidR="00A057AB" w:rsidRPr="00A057AB">
          <w:rPr>
            <w:rStyle w:val="Hyperlink"/>
            <w:rFonts w:asciiTheme="majorHAnsi" w:hAnsiTheme="majorHAnsi"/>
            <w:color w:val="auto"/>
          </w:rPr>
          <w:t>3</w:t>
        </w:r>
        <w:r w:rsidR="00A057AB" w:rsidRPr="00A057AB">
          <w:rPr>
            <w:rFonts w:asciiTheme="minorHAnsi" w:eastAsiaTheme="minorEastAsia" w:hAnsiTheme="minorHAnsi"/>
            <w:caps w:val="0"/>
            <w:color w:val="auto"/>
            <w:sz w:val="22"/>
            <w:lang w:eastAsia="en-IE"/>
          </w:rPr>
          <w:tab/>
        </w:r>
        <w:r w:rsidR="00A057AB" w:rsidRPr="00A057AB">
          <w:rPr>
            <w:rStyle w:val="Hyperlink"/>
            <w:color w:val="auto"/>
          </w:rPr>
          <w:t>Role of Stakeholders</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_Toc521497271 \h </w:instrText>
        </w:r>
        <w:r w:rsidR="00A057AB" w:rsidRPr="00A057AB">
          <w:rPr>
            <w:webHidden/>
            <w:color w:val="auto"/>
          </w:rPr>
        </w:r>
        <w:r w:rsidR="00A057AB" w:rsidRPr="00A057AB">
          <w:rPr>
            <w:webHidden/>
            <w:color w:val="auto"/>
          </w:rPr>
          <w:fldChar w:fldCharType="separate"/>
        </w:r>
        <w:r w:rsidR="00A057AB" w:rsidRPr="00A057AB">
          <w:rPr>
            <w:webHidden/>
            <w:color w:val="auto"/>
          </w:rPr>
          <w:t>6</w:t>
        </w:r>
        <w:r w:rsidR="00A057AB" w:rsidRPr="00A057AB">
          <w:rPr>
            <w:webHidden/>
            <w:color w:val="auto"/>
          </w:rPr>
          <w:fldChar w:fldCharType="end"/>
        </w:r>
      </w:hyperlink>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72" w:history="1">
        <w:r w:rsidR="00A057AB" w:rsidRPr="00A057AB">
          <w:rPr>
            <w:rStyle w:val="Hyperlink"/>
            <w:rFonts w:asciiTheme="majorHAnsi" w:hAnsiTheme="majorHAnsi"/>
            <w:color w:val="auto"/>
          </w:rPr>
          <w:t>4</w:t>
        </w:r>
        <w:r w:rsidR="00A057AB" w:rsidRPr="00A057AB">
          <w:rPr>
            <w:rFonts w:asciiTheme="minorHAnsi" w:eastAsiaTheme="minorEastAsia" w:hAnsiTheme="minorHAnsi"/>
            <w:caps w:val="0"/>
            <w:color w:val="auto"/>
            <w:sz w:val="22"/>
            <w:lang w:eastAsia="en-IE"/>
          </w:rPr>
          <w:tab/>
        </w:r>
        <w:r w:rsidR="00A057AB" w:rsidRPr="00A057AB">
          <w:rPr>
            <w:rStyle w:val="Hyperlink"/>
            <w:color w:val="auto"/>
          </w:rPr>
          <w:t>Principles of the framework</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_Toc521497272 \h </w:instrText>
        </w:r>
        <w:r w:rsidR="00A057AB" w:rsidRPr="00A057AB">
          <w:rPr>
            <w:webHidden/>
            <w:color w:val="auto"/>
          </w:rPr>
        </w:r>
        <w:r w:rsidR="00A057AB" w:rsidRPr="00A057AB">
          <w:rPr>
            <w:webHidden/>
            <w:color w:val="auto"/>
          </w:rPr>
          <w:fldChar w:fldCharType="separate"/>
        </w:r>
        <w:r w:rsidR="00A057AB" w:rsidRPr="00A057AB">
          <w:rPr>
            <w:webHidden/>
            <w:color w:val="auto"/>
          </w:rPr>
          <w:t>9</w:t>
        </w:r>
        <w:r w:rsidR="00A057AB" w:rsidRPr="00A057AB">
          <w:rPr>
            <w:webHidden/>
            <w:color w:val="auto"/>
          </w:rPr>
          <w:fldChar w:fldCharType="end"/>
        </w:r>
      </w:hyperlink>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73" w:history="1">
        <w:r w:rsidR="00A057AB" w:rsidRPr="00A057AB">
          <w:rPr>
            <w:rStyle w:val="Hyperlink"/>
            <w:rFonts w:asciiTheme="majorHAnsi" w:hAnsiTheme="majorHAnsi"/>
            <w:color w:val="auto"/>
          </w:rPr>
          <w:t>5</w:t>
        </w:r>
        <w:r w:rsidR="00A057AB" w:rsidRPr="00A057AB">
          <w:rPr>
            <w:rFonts w:asciiTheme="minorHAnsi" w:eastAsiaTheme="minorEastAsia" w:hAnsiTheme="minorHAnsi"/>
            <w:caps w:val="0"/>
            <w:color w:val="auto"/>
            <w:sz w:val="22"/>
            <w:lang w:eastAsia="en-IE"/>
          </w:rPr>
          <w:tab/>
        </w:r>
        <w:r w:rsidR="00A057AB" w:rsidRPr="00A057AB">
          <w:rPr>
            <w:rStyle w:val="Hyperlink"/>
            <w:color w:val="auto"/>
          </w:rPr>
          <w:t>Medicine shortages framework</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_Toc521497273 \h </w:instrText>
        </w:r>
        <w:r w:rsidR="00A057AB" w:rsidRPr="00A057AB">
          <w:rPr>
            <w:webHidden/>
            <w:color w:val="auto"/>
          </w:rPr>
        </w:r>
        <w:r w:rsidR="00A057AB" w:rsidRPr="00A057AB">
          <w:rPr>
            <w:webHidden/>
            <w:color w:val="auto"/>
          </w:rPr>
          <w:fldChar w:fldCharType="separate"/>
        </w:r>
        <w:r w:rsidR="00A057AB" w:rsidRPr="00A057AB">
          <w:rPr>
            <w:webHidden/>
            <w:color w:val="auto"/>
          </w:rPr>
          <w:t>9</w:t>
        </w:r>
        <w:r w:rsidR="00A057AB" w:rsidRPr="00A057AB">
          <w:rPr>
            <w:webHidden/>
            <w:color w:val="auto"/>
          </w:rPr>
          <w:fldChar w:fldCharType="end"/>
        </w:r>
      </w:hyperlink>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74" w:history="1">
        <w:r w:rsidR="00A057AB" w:rsidRPr="00A057AB">
          <w:rPr>
            <w:rStyle w:val="Hyperlink"/>
            <w:rFonts w:asciiTheme="majorHAnsi" w:hAnsiTheme="majorHAnsi"/>
            <w:color w:val="auto"/>
          </w:rPr>
          <w:t>6</w:t>
        </w:r>
        <w:r w:rsidR="00A057AB" w:rsidRPr="00A057AB">
          <w:rPr>
            <w:rFonts w:asciiTheme="minorHAnsi" w:eastAsiaTheme="minorEastAsia" w:hAnsiTheme="minorHAnsi"/>
            <w:caps w:val="0"/>
            <w:color w:val="auto"/>
            <w:sz w:val="22"/>
            <w:lang w:eastAsia="en-IE"/>
          </w:rPr>
          <w:tab/>
        </w:r>
        <w:r w:rsidR="00A057AB" w:rsidRPr="00A057AB">
          <w:rPr>
            <w:rStyle w:val="Hyperlink"/>
            <w:color w:val="auto"/>
          </w:rPr>
          <w:t>Preventative Strategies</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_Toc521497274 \h </w:instrText>
        </w:r>
        <w:r w:rsidR="00A057AB" w:rsidRPr="00A057AB">
          <w:rPr>
            <w:webHidden/>
            <w:color w:val="auto"/>
          </w:rPr>
        </w:r>
        <w:r w:rsidR="00A057AB" w:rsidRPr="00A057AB">
          <w:rPr>
            <w:webHidden/>
            <w:color w:val="auto"/>
          </w:rPr>
          <w:fldChar w:fldCharType="separate"/>
        </w:r>
        <w:r w:rsidR="00A057AB" w:rsidRPr="00A057AB">
          <w:rPr>
            <w:webHidden/>
            <w:color w:val="auto"/>
          </w:rPr>
          <w:t>13</w:t>
        </w:r>
        <w:r w:rsidR="00A057AB" w:rsidRPr="00A057AB">
          <w:rPr>
            <w:webHidden/>
            <w:color w:val="auto"/>
          </w:rPr>
          <w:fldChar w:fldCharType="end"/>
        </w:r>
      </w:hyperlink>
    </w:p>
    <w:p w:rsidR="00A057AB" w:rsidRPr="00A057AB" w:rsidRDefault="00E67562" w:rsidP="00A057AB">
      <w:pPr>
        <w:pStyle w:val="TOC1"/>
        <w:rPr>
          <w:rFonts w:asciiTheme="minorHAnsi" w:eastAsiaTheme="minorEastAsia" w:hAnsiTheme="minorHAnsi"/>
          <w:caps w:val="0"/>
          <w:color w:val="auto"/>
          <w:sz w:val="22"/>
          <w:lang w:eastAsia="en-IE"/>
        </w:rPr>
      </w:pPr>
      <w:hyperlink w:anchor="_Toc521497275" w:history="1">
        <w:r w:rsidR="00A057AB" w:rsidRPr="00A057AB">
          <w:rPr>
            <w:rStyle w:val="Hyperlink"/>
            <w:rFonts w:asciiTheme="majorHAnsi" w:hAnsiTheme="majorHAnsi"/>
            <w:color w:val="auto"/>
          </w:rPr>
          <w:t>7</w:t>
        </w:r>
        <w:r w:rsidR="00A057AB" w:rsidRPr="00A057AB">
          <w:rPr>
            <w:rFonts w:asciiTheme="minorHAnsi" w:eastAsiaTheme="minorEastAsia" w:hAnsiTheme="minorHAnsi"/>
            <w:caps w:val="0"/>
            <w:color w:val="auto"/>
            <w:sz w:val="22"/>
            <w:lang w:eastAsia="en-IE"/>
          </w:rPr>
          <w:tab/>
        </w:r>
        <w:r w:rsidR="00A057AB" w:rsidRPr="00A057AB">
          <w:rPr>
            <w:rStyle w:val="Hyperlink"/>
            <w:color w:val="auto"/>
          </w:rPr>
          <w:t>Concluding remarks</w:t>
        </w:r>
        <w:r w:rsidR="00A057AB" w:rsidRPr="00A057AB">
          <w:rPr>
            <w:webHidden/>
            <w:color w:val="auto"/>
          </w:rPr>
          <w:tab/>
        </w:r>
        <w:r w:rsidR="00A057AB" w:rsidRPr="00A057AB">
          <w:rPr>
            <w:webHidden/>
            <w:color w:val="auto"/>
          </w:rPr>
          <w:fldChar w:fldCharType="begin"/>
        </w:r>
        <w:r w:rsidR="00A057AB" w:rsidRPr="00A057AB">
          <w:rPr>
            <w:webHidden/>
            <w:color w:val="auto"/>
          </w:rPr>
          <w:instrText xml:space="preserve"> PAGEREF _Toc521497275 \h </w:instrText>
        </w:r>
        <w:r w:rsidR="00A057AB" w:rsidRPr="00A057AB">
          <w:rPr>
            <w:webHidden/>
            <w:color w:val="auto"/>
          </w:rPr>
        </w:r>
        <w:r w:rsidR="00A057AB" w:rsidRPr="00A057AB">
          <w:rPr>
            <w:webHidden/>
            <w:color w:val="auto"/>
          </w:rPr>
          <w:fldChar w:fldCharType="separate"/>
        </w:r>
        <w:r w:rsidR="00A057AB" w:rsidRPr="00A057AB">
          <w:rPr>
            <w:webHidden/>
            <w:color w:val="auto"/>
          </w:rPr>
          <w:t>14</w:t>
        </w:r>
        <w:r w:rsidR="00A057AB" w:rsidRPr="00A057AB">
          <w:rPr>
            <w:webHidden/>
            <w:color w:val="auto"/>
          </w:rPr>
          <w:fldChar w:fldCharType="end"/>
        </w:r>
      </w:hyperlink>
    </w:p>
    <w:p w:rsidR="00E50FE1" w:rsidRDefault="00E50FE1" w:rsidP="00E336CD">
      <w:pPr>
        <w:pStyle w:val="HPRAMainBodyText"/>
      </w:pPr>
    </w:p>
    <w:p w:rsidR="00A057AB" w:rsidRDefault="00A057AB">
      <w:pPr>
        <w:rPr>
          <w:rFonts w:ascii="Segoe UI" w:hAnsi="Segoe UI" w:cs="Segoe UI"/>
          <w:b/>
          <w:bCs/>
          <w:caps/>
          <w:color w:val="007041" w:themeColor="accent4"/>
          <w:sz w:val="20"/>
          <w:szCs w:val="24"/>
        </w:rPr>
      </w:pPr>
      <w:bookmarkStart w:id="0" w:name="_Toc521497268"/>
      <w:bookmarkStart w:id="1" w:name="_Toc504295679"/>
      <w:r>
        <w:br w:type="page"/>
      </w:r>
    </w:p>
    <w:p w:rsidR="00A057AB" w:rsidRPr="00BF20F3" w:rsidRDefault="00A057AB" w:rsidP="00A057AB">
      <w:pPr>
        <w:pStyle w:val="HPRAHeadingL1"/>
        <w:numPr>
          <w:ilvl w:val="0"/>
          <w:numId w:val="0"/>
        </w:numPr>
        <w:ind w:left="360" w:hanging="360"/>
        <w:jc w:val="both"/>
      </w:pPr>
      <w:r>
        <w:lastRenderedPageBreak/>
        <w:t>GLossary of Terms</w:t>
      </w:r>
      <w:bookmarkEnd w:id="0"/>
    </w:p>
    <w:p w:rsidR="00A057AB" w:rsidRDefault="00A057AB" w:rsidP="00A057AB">
      <w:pPr>
        <w:pStyle w:val="HPRAHeadingL1"/>
        <w:numPr>
          <w:ilvl w:val="0"/>
          <w:numId w:val="0"/>
        </w:numPr>
        <w:ind w:left="709" w:hanging="709"/>
        <w:jc w:val="both"/>
      </w:pPr>
    </w:p>
    <w:tbl>
      <w:tblPr>
        <w:tblStyle w:val="PlainTable2"/>
        <w:tblW w:w="0" w:type="auto"/>
        <w:tblLook w:val="04A0" w:firstRow="1" w:lastRow="0" w:firstColumn="1" w:lastColumn="0" w:noHBand="0" w:noVBand="1"/>
      </w:tblPr>
      <w:tblGrid>
        <w:gridCol w:w="2689"/>
        <w:gridCol w:w="5579"/>
      </w:tblGrid>
      <w:tr w:rsidR="00A057AB" w:rsidTr="00F5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Healthcare professionals</w:t>
            </w:r>
          </w:p>
        </w:tc>
        <w:tc>
          <w:tcPr>
            <w:tcW w:w="5579" w:type="dxa"/>
          </w:tcPr>
          <w:p w:rsidR="00A057AB" w:rsidRPr="00FB02B8" w:rsidRDefault="00A057AB" w:rsidP="002538A2">
            <w:pPr>
              <w:pStyle w:val="HPRAMainBodyText"/>
              <w:spacing w:before="60" w:after="60"/>
              <w:jc w:val="both"/>
              <w:cnfStyle w:val="100000000000" w:firstRow="1" w:lastRow="0" w:firstColumn="0" w:lastColumn="0" w:oddVBand="0" w:evenVBand="0" w:oddHBand="0" w:evenHBand="0" w:firstRowFirstColumn="0" w:firstRowLastColumn="0" w:lastRowFirstColumn="0" w:lastRowLastColumn="0"/>
              <w:rPr>
                <w:b w:val="0"/>
              </w:rPr>
            </w:pPr>
            <w:r w:rsidRPr="00FB02B8">
              <w:rPr>
                <w:b w:val="0"/>
              </w:rPr>
              <w:t>Healthcare professionals</w:t>
            </w:r>
            <w:r>
              <w:rPr>
                <w:b w:val="0"/>
              </w:rPr>
              <w:t xml:space="preserve"> are stakeholders that</w:t>
            </w:r>
            <w:r w:rsidRPr="00FB02B8">
              <w:rPr>
                <w:b w:val="0"/>
              </w:rPr>
              <w:t xml:space="preserve"> include prescribers, pharmacists and nurses. </w:t>
            </w:r>
          </w:p>
        </w:tc>
      </w:tr>
      <w:tr w:rsidR="00A057AB" w:rsidTr="00F5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Impact assessment</w:t>
            </w:r>
          </w:p>
        </w:tc>
        <w:tc>
          <w:tcPr>
            <w:tcW w:w="5579" w:type="dxa"/>
          </w:tcPr>
          <w:p w:rsidR="00A057AB" w:rsidRPr="00FB02B8" w:rsidRDefault="00A057AB" w:rsidP="002538A2">
            <w:pPr>
              <w:pStyle w:val="HPRAMainBodyText"/>
              <w:spacing w:before="60" w:after="60"/>
              <w:jc w:val="both"/>
              <w:cnfStyle w:val="000000100000" w:firstRow="0" w:lastRow="0" w:firstColumn="0" w:lastColumn="0" w:oddVBand="0" w:evenVBand="0" w:oddHBand="1" w:evenHBand="0" w:firstRowFirstColumn="0" w:firstRowLastColumn="0" w:lastRowFirstColumn="0" w:lastRowLastColumn="0"/>
              <w:rPr>
                <w:b/>
              </w:rPr>
            </w:pPr>
            <w:r>
              <w:t>An impact assessment is performed in order to determine the impact of a potential or actual shortage on patients.</w:t>
            </w:r>
          </w:p>
        </w:tc>
      </w:tr>
      <w:tr w:rsidR="00A057AB" w:rsidTr="00F502F2">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Manufacturer</w:t>
            </w:r>
          </w:p>
        </w:tc>
        <w:tc>
          <w:tcPr>
            <w:tcW w:w="5579" w:type="dxa"/>
          </w:tcPr>
          <w:p w:rsidR="00A057AB" w:rsidRPr="00FB02B8" w:rsidRDefault="00A057AB" w:rsidP="002538A2">
            <w:pPr>
              <w:pStyle w:val="HPRAMainBodyText"/>
              <w:spacing w:before="60" w:after="60"/>
              <w:jc w:val="both"/>
              <w:cnfStyle w:val="000000000000" w:firstRow="0" w:lastRow="0" w:firstColumn="0" w:lastColumn="0" w:oddVBand="0" w:evenVBand="0" w:oddHBand="0" w:evenHBand="0" w:firstRowFirstColumn="0" w:firstRowLastColumn="0" w:lastRowFirstColumn="0" w:lastRowLastColumn="0"/>
            </w:pPr>
            <w:r>
              <w:t>The manufacturer is a stakeholder that has been authorised to produce medicinal products. The manufacturer may or may not also be the marketing authorisation holder (MAH).</w:t>
            </w:r>
          </w:p>
        </w:tc>
      </w:tr>
      <w:tr w:rsidR="00A057AB" w:rsidTr="00F5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Marketing authorisation holder (MAH)</w:t>
            </w:r>
          </w:p>
        </w:tc>
        <w:tc>
          <w:tcPr>
            <w:tcW w:w="5579" w:type="dxa"/>
          </w:tcPr>
          <w:p w:rsidR="00A057AB" w:rsidRDefault="00A057AB" w:rsidP="002538A2">
            <w:pPr>
              <w:pStyle w:val="HPRAMainBodyText"/>
              <w:spacing w:before="60" w:after="60"/>
              <w:jc w:val="both"/>
              <w:cnfStyle w:val="000000100000" w:firstRow="0" w:lastRow="0" w:firstColumn="0" w:lastColumn="0" w:oddVBand="0" w:evenVBand="0" w:oddHBand="1" w:evenHBand="0" w:firstRowFirstColumn="0" w:firstRowLastColumn="0" w:lastRowFirstColumn="0" w:lastRowLastColumn="0"/>
            </w:pPr>
            <w:r w:rsidRPr="00796982">
              <w:t xml:space="preserve">The MAH is the </w:t>
            </w:r>
            <w:r>
              <w:t>stakeholder</w:t>
            </w:r>
            <w:r w:rsidRPr="00796982">
              <w:t xml:space="preserve"> in w</w:t>
            </w:r>
            <w:r>
              <w:t>hose name the marketing authoris</w:t>
            </w:r>
            <w:r w:rsidRPr="00796982">
              <w:t xml:space="preserve">ation </w:t>
            </w:r>
            <w:r>
              <w:t xml:space="preserve">for a medicinal product </w:t>
            </w:r>
            <w:r w:rsidRPr="00796982">
              <w:t xml:space="preserve">has been granted. </w:t>
            </w:r>
            <w:r>
              <w:t>The MAH</w:t>
            </w:r>
            <w:r w:rsidRPr="00796982">
              <w:t xml:space="preserve"> is responsible for all aspects of the </w:t>
            </w:r>
            <w:r>
              <w:t xml:space="preserve">medicinal </w:t>
            </w:r>
            <w:r w:rsidRPr="00796982">
              <w:t>product, including quality and compliance with the conditions of the mar</w:t>
            </w:r>
            <w:r>
              <w:t>keting authoris</w:t>
            </w:r>
            <w:r w:rsidRPr="00796982">
              <w:t>ation.</w:t>
            </w:r>
          </w:p>
        </w:tc>
      </w:tr>
      <w:tr w:rsidR="00A057AB" w:rsidTr="00F502F2">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Marketing authorisation number</w:t>
            </w:r>
          </w:p>
        </w:tc>
        <w:tc>
          <w:tcPr>
            <w:tcW w:w="5579" w:type="dxa"/>
          </w:tcPr>
          <w:p w:rsidR="00A057AB" w:rsidRDefault="00A057AB" w:rsidP="002538A2">
            <w:pPr>
              <w:pStyle w:val="HPRAMainBodyText"/>
              <w:spacing w:before="60" w:after="60"/>
              <w:jc w:val="both"/>
              <w:cnfStyle w:val="000000000000" w:firstRow="0" w:lastRow="0" w:firstColumn="0" w:lastColumn="0" w:oddVBand="0" w:evenVBand="0" w:oddHBand="0" w:evenHBand="0" w:firstRowFirstColumn="0" w:firstRowLastColumn="0" w:lastRowFirstColumn="0" w:lastRowLastColumn="0"/>
            </w:pPr>
            <w:r>
              <w:t xml:space="preserve">Each authorised medicinal product has a specific reference number associated with it and that is detailed on the product packaging. The marketing authorisation number usually take the form of a sequence of letters followed by numbers. The letters can be PA, PPA, DPR or EU for example.  </w:t>
            </w:r>
          </w:p>
        </w:tc>
      </w:tr>
      <w:tr w:rsidR="00A057AB" w:rsidTr="00F5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Medicinal product shortage</w:t>
            </w:r>
          </w:p>
        </w:tc>
        <w:tc>
          <w:tcPr>
            <w:tcW w:w="5579" w:type="dxa"/>
          </w:tcPr>
          <w:p w:rsidR="00A057AB" w:rsidRDefault="00A057AB" w:rsidP="002538A2">
            <w:pPr>
              <w:pStyle w:val="HPRAMainBodyText"/>
              <w:spacing w:before="60" w:after="60"/>
              <w:jc w:val="both"/>
              <w:cnfStyle w:val="000000100000" w:firstRow="0" w:lastRow="0" w:firstColumn="0" w:lastColumn="0" w:oddVBand="0" w:evenVBand="0" w:oddHBand="1" w:evenHBand="0" w:firstRowFirstColumn="0" w:firstRowLastColumn="0" w:lastRowFirstColumn="0" w:lastRowLastColumn="0"/>
            </w:pPr>
            <w:r w:rsidRPr="00FB02B8">
              <w:t>A medicinal product shortage occurs where the supply of a medicinal product is inadequate to meet the needs of patients.</w:t>
            </w:r>
          </w:p>
        </w:tc>
      </w:tr>
      <w:tr w:rsidR="00A057AB" w:rsidTr="00F502F2">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Notification</w:t>
            </w:r>
          </w:p>
        </w:tc>
        <w:tc>
          <w:tcPr>
            <w:tcW w:w="5579" w:type="dxa"/>
          </w:tcPr>
          <w:p w:rsidR="00A057AB" w:rsidRDefault="00A057AB" w:rsidP="002538A2">
            <w:pPr>
              <w:pStyle w:val="HPRAMainBodyText"/>
              <w:spacing w:before="60" w:after="60"/>
              <w:jc w:val="both"/>
              <w:cnfStyle w:val="000000000000" w:firstRow="0" w:lastRow="0" w:firstColumn="0" w:lastColumn="0" w:oddVBand="0" w:evenVBand="0" w:oddHBand="0" w:evenHBand="0" w:firstRowFirstColumn="0" w:firstRowLastColumn="0" w:lastRowFirstColumn="0" w:lastRowLastColumn="0"/>
            </w:pPr>
            <w:r>
              <w:t>A notification is a communication of a shortage from a marketing authorisation holder (MAH).</w:t>
            </w:r>
          </w:p>
        </w:tc>
      </w:tr>
      <w:tr w:rsidR="00A057AB" w:rsidTr="00F5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Report</w:t>
            </w:r>
          </w:p>
        </w:tc>
        <w:tc>
          <w:tcPr>
            <w:tcW w:w="5579" w:type="dxa"/>
          </w:tcPr>
          <w:p w:rsidR="00A057AB" w:rsidRDefault="00A057AB" w:rsidP="002538A2">
            <w:pPr>
              <w:pStyle w:val="HPRAMainBodyText"/>
              <w:spacing w:before="60" w:after="60"/>
              <w:jc w:val="both"/>
              <w:cnfStyle w:val="000000100000" w:firstRow="0" w:lastRow="0" w:firstColumn="0" w:lastColumn="0" w:oddVBand="0" w:evenVBand="0" w:oddHBand="1" w:evenHBand="0" w:firstRowFirstColumn="0" w:firstRowLastColumn="0" w:lastRowFirstColumn="0" w:lastRowLastColumn="0"/>
            </w:pPr>
            <w:r>
              <w:t>A report is a communication of a shortage from any stakeholder that is not a marketing authorisation holder (or their representative). This includes a manufacturer, wholesale distributor, healthcare professional or patient.</w:t>
            </w:r>
          </w:p>
        </w:tc>
      </w:tr>
      <w:tr w:rsidR="00A057AB" w:rsidTr="00F502F2">
        <w:tc>
          <w:tcPr>
            <w:cnfStyle w:val="001000000000" w:firstRow="0" w:lastRow="0" w:firstColumn="1" w:lastColumn="0" w:oddVBand="0" w:evenVBand="0" w:oddHBand="0" w:evenHBand="0" w:firstRowFirstColumn="0" w:firstRowLastColumn="0" w:lastRowFirstColumn="0" w:lastRowLastColumn="0"/>
            <w:tcW w:w="2689" w:type="dxa"/>
          </w:tcPr>
          <w:p w:rsidR="00A057AB" w:rsidRPr="00AA7BE4" w:rsidRDefault="00A057AB" w:rsidP="002538A2">
            <w:pPr>
              <w:pStyle w:val="HPRAMainBodyText"/>
              <w:spacing w:before="60" w:after="60"/>
            </w:pPr>
            <w:r w:rsidRPr="00AA7BE4">
              <w:t>Wholesale distributor</w:t>
            </w:r>
          </w:p>
        </w:tc>
        <w:tc>
          <w:tcPr>
            <w:tcW w:w="5579" w:type="dxa"/>
          </w:tcPr>
          <w:p w:rsidR="00A057AB" w:rsidRDefault="00A057AB" w:rsidP="002538A2">
            <w:pPr>
              <w:pStyle w:val="HPRAMainBodyText"/>
              <w:spacing w:before="60" w:after="60"/>
              <w:jc w:val="both"/>
              <w:cnfStyle w:val="000000000000" w:firstRow="0" w:lastRow="0" w:firstColumn="0" w:lastColumn="0" w:oddVBand="0" w:evenVBand="0" w:oddHBand="0" w:evenHBand="0" w:firstRowFirstColumn="0" w:firstRowLastColumn="0" w:lastRowFirstColumn="0" w:lastRowLastColumn="0"/>
            </w:pPr>
            <w:r>
              <w:t>The wholesale distributor is a stakeholder that has been authorised to distribute medicinal products.</w:t>
            </w:r>
          </w:p>
        </w:tc>
      </w:tr>
    </w:tbl>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Default="00A057AB" w:rsidP="00A057AB">
      <w:pPr>
        <w:pStyle w:val="HPRAHeadingL1"/>
        <w:numPr>
          <w:ilvl w:val="0"/>
          <w:numId w:val="0"/>
        </w:numPr>
        <w:ind w:left="709" w:hanging="709"/>
        <w:jc w:val="both"/>
      </w:pPr>
    </w:p>
    <w:p w:rsidR="00A057AB" w:rsidRPr="00FD61D0" w:rsidRDefault="00A057AB" w:rsidP="00A057AB">
      <w:pPr>
        <w:pStyle w:val="HPRAHeadingL1"/>
        <w:jc w:val="both"/>
      </w:pPr>
      <w:bookmarkStart w:id="2" w:name="_Toc521497269"/>
      <w:r>
        <w:lastRenderedPageBreak/>
        <w:t>Purpose</w:t>
      </w:r>
      <w:bookmarkEnd w:id="1"/>
      <w:bookmarkEnd w:id="2"/>
      <w:r>
        <w:t xml:space="preserve"> </w:t>
      </w:r>
    </w:p>
    <w:p w:rsidR="00A057AB" w:rsidRDefault="00A057AB" w:rsidP="00A057AB">
      <w:pPr>
        <w:pStyle w:val="HPRAMainBodyText"/>
        <w:jc w:val="both"/>
      </w:pPr>
    </w:p>
    <w:p w:rsidR="00A057AB" w:rsidRDefault="00A057AB" w:rsidP="00A057AB">
      <w:pPr>
        <w:pStyle w:val="HPRAMainBodyText"/>
        <w:jc w:val="both"/>
      </w:pPr>
      <w:r>
        <w:t>Medicine</w:t>
      </w:r>
      <w:r w:rsidRPr="00A50857">
        <w:t xml:space="preserve"> shortages are recogn</w:t>
      </w:r>
      <w:r>
        <w:t xml:space="preserve">ised as a global problem by the World Health Organization. Whilst medicine shortages have been a global issue for some time, they </w:t>
      </w:r>
      <w:r w:rsidRPr="00F17A72">
        <w:t>have</w:t>
      </w:r>
      <w:r>
        <w:t xml:space="preserve"> </w:t>
      </w:r>
      <w:r w:rsidRPr="00F17A72">
        <w:t>increasin</w:t>
      </w:r>
      <w:r>
        <w:t>gly affected Ireland and other European countries</w:t>
      </w:r>
      <w:r w:rsidRPr="00F17A72">
        <w:t xml:space="preserve"> with significant impact on patient care</w:t>
      </w:r>
      <w:r>
        <w:t xml:space="preserve"> and total healthcare costs.</w:t>
      </w:r>
    </w:p>
    <w:p w:rsidR="00A057AB" w:rsidRDefault="00A057AB" w:rsidP="00A057AB">
      <w:pPr>
        <w:pStyle w:val="HPRAMainBodyText"/>
        <w:jc w:val="both"/>
      </w:pPr>
    </w:p>
    <w:p w:rsidR="00A057AB" w:rsidRDefault="00A057AB" w:rsidP="00A057AB">
      <w:pPr>
        <w:pStyle w:val="HPRAMainBodyText"/>
        <w:jc w:val="both"/>
      </w:pPr>
      <w:r w:rsidRPr="005C4318">
        <w:t xml:space="preserve">The purpose of this document is to </w:t>
      </w:r>
      <w:r>
        <w:t xml:space="preserve">outline a framework for the Health Products Regulatory Authority (HPRA) and other stakeholders to address the issue of medicine shortages in Ireland. </w:t>
      </w:r>
    </w:p>
    <w:p w:rsidR="00A057AB" w:rsidRDefault="00A057AB" w:rsidP="00A057AB">
      <w:pPr>
        <w:pStyle w:val="HPRAMainBodyText"/>
        <w:jc w:val="both"/>
      </w:pPr>
    </w:p>
    <w:p w:rsidR="00A057AB" w:rsidRPr="006B1BB8" w:rsidRDefault="00A057AB" w:rsidP="00A057AB">
      <w:pPr>
        <w:pStyle w:val="HPRAMainBodyText"/>
        <w:jc w:val="both"/>
      </w:pPr>
      <w:r>
        <w:rPr>
          <w:color w:val="000000"/>
        </w:rPr>
        <w:t xml:space="preserve">The aim of the framework is to help avert potential shortages from occurring and to </w:t>
      </w:r>
      <w:r w:rsidRPr="000D788A">
        <w:rPr>
          <w:color w:val="000000"/>
        </w:rPr>
        <w:t>reduce the impact of shortages on patients</w:t>
      </w:r>
      <w:r>
        <w:rPr>
          <w:b/>
          <w:color w:val="000000"/>
        </w:rPr>
        <w:t xml:space="preserve"> </w:t>
      </w:r>
      <w:r>
        <w:rPr>
          <w:color w:val="000000"/>
        </w:rPr>
        <w:t>by co-ordinating</w:t>
      </w:r>
      <w:r w:rsidRPr="0059471C">
        <w:rPr>
          <w:color w:val="000000"/>
        </w:rPr>
        <w:t xml:space="preserve"> the management of </w:t>
      </w:r>
      <w:r>
        <w:rPr>
          <w:color w:val="000000"/>
        </w:rPr>
        <w:t xml:space="preserve">potential or actual </w:t>
      </w:r>
      <w:r w:rsidRPr="0059471C">
        <w:rPr>
          <w:color w:val="000000"/>
        </w:rPr>
        <w:t xml:space="preserve">shortages </w:t>
      </w:r>
      <w:r>
        <w:rPr>
          <w:color w:val="000000"/>
        </w:rPr>
        <w:t xml:space="preserve">as they arise. This document focusses primarily on the approach to managing potential or actual shortages through enhancing procedures for notification of shortages, their evaluation and outward communication. Whilst preventative strategies are briefly indicated in Section 6, the detail is not described in this document. The development of the framework will be an iterative process and these areas will follow. </w:t>
      </w:r>
      <w:r w:rsidRPr="00A82F13">
        <w:rPr>
          <w:color w:val="000000"/>
        </w:rPr>
        <w:t>The framework does not cover commercial activities such as pricing of medicines, sourcing of medicines from suppliers and the clinical specifics of patient treatment in the event of a shortage.</w:t>
      </w:r>
      <w:r>
        <w:rPr>
          <w:color w:val="000000"/>
        </w:rPr>
        <w:t xml:space="preserve"> </w:t>
      </w:r>
    </w:p>
    <w:p w:rsidR="00A057AB" w:rsidRDefault="00A057AB" w:rsidP="00A057AB">
      <w:pPr>
        <w:autoSpaceDE w:val="0"/>
        <w:autoSpaceDN w:val="0"/>
        <w:adjustRightInd w:val="0"/>
        <w:jc w:val="both"/>
        <w:rPr>
          <w:rFonts w:ascii="Segoe UI" w:hAnsi="Segoe UI" w:cs="Segoe UI"/>
          <w:color w:val="000000"/>
          <w:sz w:val="20"/>
          <w:szCs w:val="20"/>
        </w:rPr>
      </w:pPr>
    </w:p>
    <w:p w:rsidR="00A057AB" w:rsidRPr="00BA6E6D"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 xml:space="preserve">The framework was generated following a review of current practices in Ireland and other countries, other published frameworks for the management of medicine shortages and consultation with representatives of healthcare professionals, patients, industry, state agencies and academics. </w:t>
      </w:r>
    </w:p>
    <w:p w:rsidR="00A057AB" w:rsidRDefault="00A057AB" w:rsidP="00A057AB">
      <w:pPr>
        <w:pStyle w:val="HPRAMainBodyText"/>
        <w:jc w:val="both"/>
      </w:pPr>
    </w:p>
    <w:p w:rsidR="00A057AB" w:rsidRDefault="00A057AB" w:rsidP="00A057AB">
      <w:pPr>
        <w:pStyle w:val="HPRAMainBodyText"/>
        <w:jc w:val="both"/>
      </w:pPr>
    </w:p>
    <w:p w:rsidR="00A057AB" w:rsidRDefault="00A057AB" w:rsidP="00A057AB">
      <w:pPr>
        <w:pStyle w:val="HPRAHeadingL1"/>
        <w:jc w:val="both"/>
      </w:pPr>
      <w:bookmarkStart w:id="3" w:name="_Toc521497270"/>
      <w:r>
        <w:t>Definition</w:t>
      </w:r>
      <w:bookmarkEnd w:id="3"/>
      <w:r>
        <w:t xml:space="preserve"> </w:t>
      </w:r>
    </w:p>
    <w:p w:rsidR="00A057AB" w:rsidRDefault="00A057AB" w:rsidP="00A057AB">
      <w:pPr>
        <w:pStyle w:val="HPRAMainBodyText"/>
        <w:jc w:val="both"/>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Causes of m</w:t>
      </w:r>
      <w:r w:rsidRPr="007421BE">
        <w:rPr>
          <w:rFonts w:ascii="Segoe UI" w:hAnsi="Segoe UI" w:cs="Segoe UI"/>
          <w:color w:val="000000"/>
          <w:sz w:val="20"/>
          <w:szCs w:val="20"/>
        </w:rPr>
        <w:t xml:space="preserve">edicine shortages </w:t>
      </w:r>
      <w:r>
        <w:rPr>
          <w:rFonts w:ascii="Segoe UI" w:hAnsi="Segoe UI" w:cs="Segoe UI"/>
          <w:color w:val="000000"/>
          <w:sz w:val="20"/>
          <w:szCs w:val="20"/>
        </w:rPr>
        <w:t xml:space="preserve">are multifactorial and involve multiple stakeholders. The Irish response to medicine shortages, therefore, is based on a multi-stakeholder approach, where collaboration with stakeholders is the foundation of an informed and practical response. </w:t>
      </w:r>
      <w:r w:rsidRPr="00095A5D">
        <w:rPr>
          <w:rFonts w:ascii="Segoe UI" w:hAnsi="Segoe UI" w:cs="Segoe UI"/>
          <w:color w:val="000000"/>
          <w:sz w:val="20"/>
          <w:szCs w:val="20"/>
        </w:rPr>
        <w:t xml:space="preserve">Communication of critical information amongst stakeholders </w:t>
      </w:r>
      <w:r>
        <w:rPr>
          <w:rFonts w:ascii="Segoe UI" w:hAnsi="Segoe UI" w:cs="Segoe UI"/>
          <w:color w:val="000000"/>
          <w:sz w:val="20"/>
          <w:szCs w:val="20"/>
        </w:rPr>
        <w:t>is</w:t>
      </w:r>
      <w:r w:rsidRPr="00095A5D">
        <w:rPr>
          <w:rFonts w:ascii="Segoe UI" w:hAnsi="Segoe UI" w:cs="Segoe UI"/>
          <w:color w:val="000000"/>
          <w:sz w:val="20"/>
          <w:szCs w:val="20"/>
        </w:rPr>
        <w:t xml:space="preserve"> central to this. </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sidRPr="00464BD8">
        <w:rPr>
          <w:rFonts w:ascii="Segoe UI" w:hAnsi="Segoe UI" w:cs="Segoe UI"/>
          <w:color w:val="000000"/>
          <w:sz w:val="20"/>
          <w:szCs w:val="20"/>
        </w:rPr>
        <w:t>Developing long-term strategies focused on the underlying cau</w:t>
      </w:r>
      <w:r>
        <w:rPr>
          <w:rFonts w:ascii="Segoe UI" w:hAnsi="Segoe UI" w:cs="Segoe UI"/>
          <w:color w:val="000000"/>
          <w:sz w:val="20"/>
          <w:szCs w:val="20"/>
        </w:rPr>
        <w:t xml:space="preserve">ses of shortages can reduce the likelihood of shortages occurring. The HPRA will work with stakeholders to implement long-term </w:t>
      </w:r>
      <w:r w:rsidRPr="00464BD8">
        <w:rPr>
          <w:rFonts w:ascii="Segoe UI" w:hAnsi="Segoe UI" w:cs="Segoe UI"/>
          <w:color w:val="000000"/>
          <w:sz w:val="20"/>
          <w:szCs w:val="20"/>
        </w:rPr>
        <w:t>strategies to prevent shortages</w:t>
      </w:r>
      <w:r>
        <w:rPr>
          <w:rFonts w:ascii="Segoe UI" w:hAnsi="Segoe UI" w:cs="Segoe UI"/>
          <w:color w:val="000000"/>
          <w:sz w:val="20"/>
          <w:szCs w:val="20"/>
        </w:rPr>
        <w:t>, which will take into account strategies proposed by stakeholders</w:t>
      </w:r>
      <w:r w:rsidRPr="00464BD8">
        <w:rPr>
          <w:rFonts w:ascii="Segoe UI" w:hAnsi="Segoe UI" w:cs="Segoe UI"/>
          <w:color w:val="000000"/>
          <w:sz w:val="20"/>
          <w:szCs w:val="20"/>
        </w:rPr>
        <w:t>.</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 xml:space="preserve">In order to provide clarity within the Irish context, the definition of a shortage is when: </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noProof/>
          <w:color w:val="000000"/>
          <w:sz w:val="20"/>
          <w:szCs w:val="20"/>
          <w:lang w:eastAsia="en-IE"/>
        </w:rPr>
        <mc:AlternateContent>
          <mc:Choice Requires="wps">
            <w:drawing>
              <wp:anchor distT="0" distB="0" distL="114300" distR="114300" simplePos="0" relativeHeight="251675648" behindDoc="1" locked="0" layoutInCell="1" allowOverlap="1" wp14:anchorId="237F6494" wp14:editId="6942510A">
                <wp:simplePos x="0" y="0"/>
                <wp:positionH relativeFrom="column">
                  <wp:posOffset>245589</wp:posOffset>
                </wp:positionH>
                <wp:positionV relativeFrom="paragraph">
                  <wp:posOffset>46894</wp:posOffset>
                </wp:positionV>
                <wp:extent cx="4795832" cy="414068"/>
                <wp:effectExtent l="0" t="0" r="24130" b="24130"/>
                <wp:wrapNone/>
                <wp:docPr id="8" name="Rounded Rectangle 8"/>
                <wp:cNvGraphicFramePr/>
                <a:graphic xmlns:a="http://schemas.openxmlformats.org/drawingml/2006/main">
                  <a:graphicData uri="http://schemas.microsoft.com/office/word/2010/wordprocessingShape">
                    <wps:wsp>
                      <wps:cNvSpPr/>
                      <wps:spPr>
                        <a:xfrm>
                          <a:off x="0" y="0"/>
                          <a:ext cx="4795832" cy="414068"/>
                        </a:xfrm>
                        <a:prstGeom prst="roundRect">
                          <a:avLst/>
                        </a:prstGeom>
                        <a:solidFill>
                          <a:schemeClr val="bg1"/>
                        </a:solidFill>
                        <a:ln>
                          <a:solidFill>
                            <a:schemeClr val="bg2"/>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8B1262" id="Rounded Rectangle 8" o:spid="_x0000_s1026" style="position:absolute;margin-left:19.35pt;margin-top:3.7pt;width:377.6pt;height:32.6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W9iwIAAJIFAAAOAAAAZHJzL2Uyb0RvYy54bWysVNtqGzEQfS/0H4Tem/U6zs1kHUxCSiEk&#10;JhfyLGslW1TSqJLstfv1HWnX61wMhdIXrWZnztx0Zi6vNkaTtfBBga1oeTSgRFgOtbKLir483347&#10;pyREZmumwYqKbkWgV5OvXy4bNxZDWIKuhSfoxIZx4yq6jNGNiyLwpTAsHIETFpUSvGERRb8oas8a&#10;9G50MRwMTosGfO08cBEC/r1plXSS/UspeHyQMohIdEUxt5hPn895OovJJRsvPHNLxbs02D9kYZiy&#10;GLR3dcMiIyuvPrkyinsIIOMRB1OAlIqLXANWUw4+VPO0ZE7kWrA5wfVtCv/PLb9fzzxRdUXxoSwz&#10;+ESPsLK1qMkjNo/ZhRbkPLWpcWGM1k9u5jsp4DXVvJHepC9WQza5tdu+tWITCcefo7OLk/PjISUc&#10;daNyNDjNTos92vkQvwswJF0q6lMWKYXcVra+CxHDov3OLkUMoFV9q7TOQuKMuNaerBm+9nxRprQR&#10;8c5K278Dh5+B6CYhi9SFtu58i1stkj9tH4XENmKlw5xwJvA+Gca5sPG485utE0xi6j2wPATUcVdF&#10;Z5tgIhO7Bw4OAd9H7BE5KtjYg42y4A85qH/2kVv7XfVtzan8OdRbZI+HdqyC47cKH++OhThjHucI&#10;Jw53Q3zAQ2poKgrdjZIl+N+H/id7pDdqKWlwLisafq2YF5ToHxaJf1GORmmQszA6ORui4N9q5m81&#10;dmWuAclQ4hZyPF+TfdS7q/RgXnGFTFNUVDHLMXZFefQ74Tq2+wKXEBfTaTbD4XUs3tknx5Pz1NXE&#10;y+fNK/OuY3BE7t/DbobZ+AOHW9uEtDBdRZAqE3zf167fOPiZxd2SSpvlrZyt9qt08gcAAP//AwBQ&#10;SwMEFAAGAAgAAAAhADXoxTrfAAAABwEAAA8AAABkcnMvZG93bnJldi54bWxMjk9Lw0AUxO+C32F5&#10;gje7sS1JG7MpVZQi9GIUxNsm+0xC90/c3baJn97nSW8zzDDzKzaj0eyEPvTOCridJcDQNk71thXw&#10;9vp0swIWorRKamdRwIQBNuXlRSFz5c72BU9VbBmN2JBLAV2MQ855aDo0MszcgJayT+eNjGR9y5WX&#10;Zxo3ms+TJOVG9pYeOjngQ4fNoToaAfeH3far2r3778d62qfL6bnR/YcQ11fj9g5YxDH+leEXn9Ch&#10;JKbaHa0KTAtYrDJqCsiWwCjO1os1sJrEPAVeFvw/f/kDAAD//wMAUEsBAi0AFAAGAAgAAAAhALaD&#10;OJL+AAAA4QEAABMAAAAAAAAAAAAAAAAAAAAAAFtDb250ZW50X1R5cGVzXS54bWxQSwECLQAUAAYA&#10;CAAAACEAOP0h/9YAAACUAQAACwAAAAAAAAAAAAAAAAAvAQAAX3JlbHMvLnJlbHNQSwECLQAUAAYA&#10;CAAAACEAIrqlvYsCAACSBQAADgAAAAAAAAAAAAAAAAAuAgAAZHJzL2Uyb0RvYy54bWxQSwECLQAU&#10;AAYACAAAACEANejFOt8AAAAHAQAADwAAAAAAAAAAAAAAAADlBAAAZHJzL2Rvd25yZXYueG1sUEsF&#10;BgAAAAAEAAQA8wAAAPEFAAAAAA==&#10;" fillcolor="white [3212]" strokecolor="#51bfe2 [3214]" strokeweight="2pt"/>
            </w:pict>
          </mc:Fallback>
        </mc:AlternateContent>
      </w:r>
    </w:p>
    <w:p w:rsidR="00A057AB" w:rsidRPr="00336C49" w:rsidRDefault="00A057AB" w:rsidP="00A057AB">
      <w:pPr>
        <w:autoSpaceDE w:val="0"/>
        <w:autoSpaceDN w:val="0"/>
        <w:adjustRightInd w:val="0"/>
        <w:jc w:val="center"/>
        <w:rPr>
          <w:rFonts w:ascii="Segoe UI" w:hAnsi="Segoe UI" w:cs="Segoe UI"/>
          <w:b/>
          <w:i/>
          <w:sz w:val="20"/>
          <w:szCs w:val="20"/>
        </w:rPr>
      </w:pPr>
      <w:r w:rsidRPr="00336C49">
        <w:rPr>
          <w:rFonts w:ascii="Segoe UI" w:hAnsi="Segoe UI" w:cs="Segoe UI"/>
          <w:b/>
          <w:i/>
          <w:sz w:val="20"/>
          <w:szCs w:val="20"/>
        </w:rPr>
        <w:t>the supply of a medicinal product is inadequate to meet the needs of patients</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lastRenderedPageBreak/>
        <w:t>The definition makes patients the central focus of the impact of shortages. The definition also takes into account a number of important factors such as:</w:t>
      </w:r>
    </w:p>
    <w:p w:rsidR="00A057AB" w:rsidRDefault="00A057AB" w:rsidP="00A057AB">
      <w:pPr>
        <w:autoSpaceDE w:val="0"/>
        <w:autoSpaceDN w:val="0"/>
        <w:adjustRightInd w:val="0"/>
        <w:jc w:val="both"/>
        <w:rPr>
          <w:rFonts w:ascii="Segoe UI" w:hAnsi="Segoe UI" w:cs="Segoe UI"/>
          <w:color w:val="000000"/>
          <w:sz w:val="20"/>
          <w:szCs w:val="20"/>
        </w:rPr>
      </w:pPr>
    </w:p>
    <w:p w:rsidR="00A057AB" w:rsidRPr="00DF5860" w:rsidRDefault="00A057AB" w:rsidP="00A057AB">
      <w:pPr>
        <w:pStyle w:val="ListParagraph"/>
        <w:numPr>
          <w:ilvl w:val="0"/>
          <w:numId w:val="17"/>
        </w:numPr>
        <w:autoSpaceDE w:val="0"/>
        <w:autoSpaceDN w:val="0"/>
        <w:adjustRightInd w:val="0"/>
        <w:ind w:left="426"/>
        <w:jc w:val="both"/>
        <w:rPr>
          <w:rFonts w:ascii="Segoe UI" w:hAnsi="Segoe UI" w:cs="Segoe UI"/>
          <w:sz w:val="20"/>
          <w:szCs w:val="20"/>
        </w:rPr>
      </w:pPr>
      <w:r w:rsidRPr="000D34E5">
        <w:rPr>
          <w:rFonts w:ascii="Segoe UI" w:hAnsi="Segoe UI" w:cs="Segoe UI"/>
          <w:b/>
          <w:sz w:val="20"/>
          <w:szCs w:val="20"/>
        </w:rPr>
        <w:t>All medicines are included within the scope of the definition</w:t>
      </w:r>
      <w:r w:rsidRPr="00DF5860">
        <w:rPr>
          <w:rFonts w:ascii="Segoe UI" w:hAnsi="Segoe UI" w:cs="Segoe UI"/>
          <w:sz w:val="20"/>
          <w:szCs w:val="20"/>
        </w:rPr>
        <w:t xml:space="preserve"> (i.e. prescription and non-prescription medicines). </w:t>
      </w:r>
    </w:p>
    <w:p w:rsidR="00A057AB" w:rsidRPr="00DF5860" w:rsidRDefault="00A057AB" w:rsidP="00A057AB">
      <w:pPr>
        <w:pStyle w:val="ListParagraph"/>
        <w:autoSpaceDE w:val="0"/>
        <w:autoSpaceDN w:val="0"/>
        <w:adjustRightInd w:val="0"/>
        <w:ind w:left="426"/>
        <w:jc w:val="both"/>
        <w:rPr>
          <w:rFonts w:ascii="Segoe UI" w:hAnsi="Segoe UI" w:cs="Segoe UI"/>
          <w:sz w:val="20"/>
          <w:szCs w:val="20"/>
        </w:rPr>
      </w:pPr>
    </w:p>
    <w:p w:rsidR="00A057AB" w:rsidRPr="00DF5860" w:rsidRDefault="00A057AB" w:rsidP="00A057AB">
      <w:pPr>
        <w:pStyle w:val="ListParagraph"/>
        <w:numPr>
          <w:ilvl w:val="0"/>
          <w:numId w:val="17"/>
        </w:numPr>
        <w:autoSpaceDE w:val="0"/>
        <w:autoSpaceDN w:val="0"/>
        <w:adjustRightInd w:val="0"/>
        <w:ind w:left="426"/>
        <w:jc w:val="both"/>
        <w:rPr>
          <w:rFonts w:ascii="Segoe UI" w:hAnsi="Segoe UI" w:cs="Segoe UI"/>
          <w:sz w:val="20"/>
          <w:szCs w:val="20"/>
        </w:rPr>
      </w:pPr>
      <w:r w:rsidRPr="000D34E5">
        <w:rPr>
          <w:rFonts w:ascii="Segoe UI" w:hAnsi="Segoe UI" w:cs="Segoe UI"/>
          <w:b/>
          <w:sz w:val="20"/>
          <w:szCs w:val="20"/>
        </w:rPr>
        <w:t>There is a supply and demand perspective</w:t>
      </w:r>
      <w:r w:rsidRPr="00DF5860">
        <w:rPr>
          <w:rFonts w:ascii="Segoe UI" w:hAnsi="Segoe UI" w:cs="Segoe UI"/>
          <w:sz w:val="20"/>
          <w:szCs w:val="20"/>
        </w:rPr>
        <w:t xml:space="preserve">; where there is no demand for a medicine to treat patients, a shortage of this product does not have significance for patients. </w:t>
      </w:r>
    </w:p>
    <w:p w:rsidR="00A057AB" w:rsidRPr="00DF5860" w:rsidRDefault="00A057AB" w:rsidP="00A057AB">
      <w:pPr>
        <w:autoSpaceDE w:val="0"/>
        <w:autoSpaceDN w:val="0"/>
        <w:adjustRightInd w:val="0"/>
        <w:jc w:val="both"/>
        <w:rPr>
          <w:rFonts w:ascii="Segoe UI" w:hAnsi="Segoe UI" w:cs="Segoe UI"/>
          <w:sz w:val="20"/>
          <w:szCs w:val="20"/>
        </w:rPr>
      </w:pPr>
    </w:p>
    <w:p w:rsidR="00A057AB" w:rsidRPr="00DF5860" w:rsidRDefault="00A057AB" w:rsidP="00A057AB">
      <w:pPr>
        <w:pStyle w:val="ListParagraph"/>
        <w:numPr>
          <w:ilvl w:val="0"/>
          <w:numId w:val="17"/>
        </w:numPr>
        <w:autoSpaceDE w:val="0"/>
        <w:autoSpaceDN w:val="0"/>
        <w:adjustRightInd w:val="0"/>
        <w:ind w:left="426"/>
        <w:jc w:val="both"/>
        <w:rPr>
          <w:rFonts w:ascii="Segoe UI" w:hAnsi="Segoe UI" w:cs="Segoe UI"/>
          <w:sz w:val="20"/>
          <w:szCs w:val="20"/>
        </w:rPr>
      </w:pPr>
      <w:r w:rsidRPr="000D34E5">
        <w:rPr>
          <w:rFonts w:ascii="Segoe UI" w:hAnsi="Segoe UI" w:cs="Segoe UI"/>
          <w:b/>
          <w:sz w:val="20"/>
          <w:szCs w:val="20"/>
        </w:rPr>
        <w:t>The definition is applied at an individual product level</w:t>
      </w:r>
      <w:r w:rsidRPr="00DF5860">
        <w:rPr>
          <w:rFonts w:ascii="Segoe UI" w:hAnsi="Segoe UI" w:cs="Segoe UI"/>
          <w:sz w:val="20"/>
          <w:szCs w:val="20"/>
        </w:rPr>
        <w:t xml:space="preserve">; this means that a specific medicine could be defined as being in short supply even if there are equivalent alternatives available. </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 xml:space="preserve">Patient impact and the potential critical nature of a shortage are important components in determining the response to a shortage. These concepts are complex and have been built into the assessment component, where multiple factors are considered, on a case-by-case basis (see </w:t>
      </w:r>
      <w:r w:rsidR="0074426F">
        <w:rPr>
          <w:rFonts w:ascii="Segoe UI" w:hAnsi="Segoe UI" w:cs="Segoe UI"/>
          <w:color w:val="000000"/>
          <w:sz w:val="20"/>
          <w:szCs w:val="20"/>
        </w:rPr>
        <w:t>s</w:t>
      </w:r>
      <w:r>
        <w:rPr>
          <w:rFonts w:ascii="Segoe UI" w:hAnsi="Segoe UI" w:cs="Segoe UI"/>
          <w:color w:val="000000"/>
          <w:sz w:val="20"/>
          <w:szCs w:val="20"/>
        </w:rPr>
        <w:t xml:space="preserve">ection 5.2). </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 xml:space="preserve">Examples of what may not be considered as medicine shortages are highlighted in the box below. </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noProof/>
          <w:color w:val="000000"/>
          <w:sz w:val="20"/>
          <w:szCs w:val="20"/>
          <w:lang w:eastAsia="en-IE"/>
        </w:rPr>
        <mc:AlternateContent>
          <mc:Choice Requires="wps">
            <w:drawing>
              <wp:anchor distT="0" distB="0" distL="114300" distR="114300" simplePos="0" relativeHeight="251676672" behindDoc="1" locked="0" layoutInCell="1" allowOverlap="1" wp14:anchorId="302BCD37" wp14:editId="1B6C95FE">
                <wp:simplePos x="0" y="0"/>
                <wp:positionH relativeFrom="column">
                  <wp:posOffset>-46990</wp:posOffset>
                </wp:positionH>
                <wp:positionV relativeFrom="paragraph">
                  <wp:posOffset>43815</wp:posOffset>
                </wp:positionV>
                <wp:extent cx="5429885" cy="2209800"/>
                <wp:effectExtent l="0" t="0" r="18415" b="19050"/>
                <wp:wrapNone/>
                <wp:docPr id="10" name="Rounded Rectangle 10"/>
                <wp:cNvGraphicFramePr/>
                <a:graphic xmlns:a="http://schemas.openxmlformats.org/drawingml/2006/main">
                  <a:graphicData uri="http://schemas.microsoft.com/office/word/2010/wordprocessingShape">
                    <wps:wsp>
                      <wps:cNvSpPr/>
                      <wps:spPr>
                        <a:xfrm>
                          <a:off x="0" y="0"/>
                          <a:ext cx="5429885" cy="2209800"/>
                        </a:xfrm>
                        <a:prstGeom prst="roundRect">
                          <a:avLst/>
                        </a:prstGeom>
                        <a:solidFill>
                          <a:schemeClr val="bg2">
                            <a:lumMod val="20000"/>
                            <a:lumOff val="80000"/>
                          </a:schemeClr>
                        </a:solidFill>
                        <a:ln>
                          <a:solidFill>
                            <a:schemeClr val="bg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62C16" id="Rounded Rectangle 10" o:spid="_x0000_s1026" style="position:absolute;margin-left:-3.7pt;margin-top:3.45pt;width:427.55pt;height:1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Y8uAIAADIGAAAOAAAAZHJzL2Uyb0RvYy54bWysVG1P2zAQ/j5p/8Hy95E0almpSFEFYprE&#10;AAETn13HbiI5Ps92m3a/fmc7CS8DTUL7ktj38tzd47s7Pdu3iuyEdQ3okk6OckqE5lA1elPSnw+X&#10;X+aUOM90xRRoUdKDcPRs+fnTaWcWooAaVCUsQRDtFp0pae29WWSZ47VomTsCIzQqJdiWebzaTVZZ&#10;1iF6q7Iiz4+zDmxlLHDhHEovkpIuI76UgvsbKZ3wRJUUc/Pxa+N3Hb7Z8pQtNpaZuuF9GuwDWbSs&#10;0Rh0hLpgnpGtbf6CahtuwYH0RxzaDKRsuIg1YDWT/FU19zUzItaC5Dgz0uT+Hyy/3t1a0lT4dkiP&#10;Zi2+0R1sdSUqcofsMb1RgqAOieqMW6D9vbm1/c3hMVS9l7YNf6yH7CO5h5FcsfeEo3A2LU7m8xkl&#10;HHVFkZ/M84iaPbkb6/w3AS0Jh5LakEdIIjLLdlfOY1y0H+xCSAeqqS4bpeIltI04V5bsGD74elNE&#10;V7Vtf0CVZNg0KS5boBibI4kxmTGd2HwBJQZ7EUDpj8Q8HsBfxpwOYizp3ZioC0GzQH6iO578QYmQ&#10;itJ3QuL7IcGp1hEo1cU4F9r3qppVIoln74aOgAFZIqcj9iTy+A52epTePriKOHijc/5v59EjRgbt&#10;R+e20WDfAlB+EpoS+ZHJfiApURNYWkN1wO62kMbeGX7ZYGddMedvmcU5x5bH3eVv8CMVdCWF/kRJ&#10;Dfb3W/Jgj+OHWko63Bsldb+2zApK1HeNg3kymU7DoomX6exrgRf7XLN+rtHb9hywUye4JQ2Px2Dv&#10;1XCUFtpHXHGrEBVVTHOMXVLu7XA592mf4ZLkYrWKZrhcDPNX+t7wAB5YDUPzsH9k1vTj5XEyr2HY&#10;MWzxasCSbfDUsNp6kE2cvidee75xMcVX6Jdo2HzP79HqadUv/wAAAP//AwBQSwMEFAAGAAgAAAAh&#10;AIV/DAnfAAAACAEAAA8AAABkcnMvZG93bnJldi54bWxMj09LxDAUxO+C3yE8wYvsprq1/2y6iCB4&#10;cAV3xfNr82yLzUtt0t367Y0nPQ4zzPym3C5mEEeaXG9ZwfU6AkHcWN1zq+Dt8LjKQDiPrHGwTAq+&#10;ycG2Oj8rsdD2xK903PtWhBJ2BSrovB8LKV3TkUG3tiNx8D7sZNAHObVST3gK5WaQN1GUSIM9h4UO&#10;R3roqPncz0ZBdJXsnvEp/noZ5zarOTfT5vCu1OXFcn8HwtPi/8Lwix/QoQpMtZ1ZOzEoWKVxSCpI&#10;chDBzuI0BVEr2NzGOciqlP8PVD8AAAD//wMAUEsBAi0AFAAGAAgAAAAhALaDOJL+AAAA4QEAABMA&#10;AAAAAAAAAAAAAAAAAAAAAFtDb250ZW50X1R5cGVzXS54bWxQSwECLQAUAAYACAAAACEAOP0h/9YA&#10;AACUAQAACwAAAAAAAAAAAAAAAAAvAQAAX3JlbHMvLnJlbHNQSwECLQAUAAYACAAAACEAIr32PLgC&#10;AAAyBgAADgAAAAAAAAAAAAAAAAAuAgAAZHJzL2Uyb0RvYy54bWxQSwECLQAUAAYACAAAACEAhX8M&#10;Cd8AAAAIAQAADwAAAAAAAAAAAAAAAAASBQAAZHJzL2Rvd25yZXYueG1sUEsFBgAAAAAEAAQA8wAA&#10;AB4GAAAAAA==&#10;" fillcolor="#dcf2f9 [670]" strokecolor="#96d8ed [1950]" strokeweight="2pt"/>
            </w:pict>
          </mc:Fallback>
        </mc:AlternateContent>
      </w:r>
    </w:p>
    <w:p w:rsidR="00A057AB" w:rsidRDefault="00A057AB" w:rsidP="00A057AB">
      <w:pPr>
        <w:pStyle w:val="ListParagraph"/>
        <w:numPr>
          <w:ilvl w:val="0"/>
          <w:numId w:val="19"/>
        </w:numPr>
        <w:autoSpaceDE w:val="0"/>
        <w:autoSpaceDN w:val="0"/>
        <w:adjustRightInd w:val="0"/>
        <w:ind w:left="426"/>
        <w:jc w:val="both"/>
        <w:rPr>
          <w:rFonts w:ascii="Segoe UI" w:hAnsi="Segoe UI" w:cs="Segoe UI"/>
          <w:sz w:val="20"/>
          <w:szCs w:val="20"/>
        </w:rPr>
      </w:pPr>
      <w:r>
        <w:rPr>
          <w:rFonts w:ascii="Segoe UI" w:hAnsi="Segoe UI" w:cs="Segoe UI"/>
          <w:sz w:val="20"/>
          <w:szCs w:val="20"/>
        </w:rPr>
        <w:t xml:space="preserve">Where a medicine is </w:t>
      </w:r>
      <w:r w:rsidRPr="00A67AB8">
        <w:rPr>
          <w:rFonts w:ascii="Segoe UI" w:hAnsi="Segoe UI" w:cs="Segoe UI"/>
          <w:b/>
          <w:sz w:val="20"/>
          <w:szCs w:val="20"/>
        </w:rPr>
        <w:t>not yet authorised</w:t>
      </w:r>
      <w:r>
        <w:rPr>
          <w:rFonts w:ascii="Segoe UI" w:hAnsi="Segoe UI" w:cs="Segoe UI"/>
          <w:sz w:val="20"/>
          <w:szCs w:val="20"/>
        </w:rPr>
        <w:t xml:space="preserve"> or which is authorised and </w:t>
      </w:r>
      <w:r w:rsidRPr="00A67AB8">
        <w:rPr>
          <w:rFonts w:ascii="Segoe UI" w:hAnsi="Segoe UI" w:cs="Segoe UI"/>
          <w:sz w:val="20"/>
          <w:szCs w:val="20"/>
        </w:rPr>
        <w:t>not marketed in Ireland for commercial reasons.</w:t>
      </w:r>
    </w:p>
    <w:p w:rsidR="00A057AB" w:rsidRDefault="00A057AB" w:rsidP="00A057AB">
      <w:pPr>
        <w:pStyle w:val="ListParagraph"/>
        <w:autoSpaceDE w:val="0"/>
        <w:autoSpaceDN w:val="0"/>
        <w:adjustRightInd w:val="0"/>
        <w:ind w:left="426"/>
        <w:jc w:val="both"/>
        <w:rPr>
          <w:rFonts w:ascii="Segoe UI" w:hAnsi="Segoe UI" w:cs="Segoe UI"/>
          <w:sz w:val="20"/>
          <w:szCs w:val="20"/>
        </w:rPr>
      </w:pPr>
    </w:p>
    <w:p w:rsidR="00A057AB" w:rsidRPr="00DF5860" w:rsidRDefault="00A057AB" w:rsidP="00A057AB">
      <w:pPr>
        <w:pStyle w:val="ListParagraph"/>
        <w:numPr>
          <w:ilvl w:val="0"/>
          <w:numId w:val="19"/>
        </w:numPr>
        <w:autoSpaceDE w:val="0"/>
        <w:autoSpaceDN w:val="0"/>
        <w:adjustRightInd w:val="0"/>
        <w:ind w:left="426"/>
        <w:jc w:val="both"/>
        <w:rPr>
          <w:rFonts w:ascii="Segoe UI" w:hAnsi="Segoe UI" w:cs="Segoe UI"/>
          <w:sz w:val="20"/>
          <w:szCs w:val="20"/>
        </w:rPr>
      </w:pPr>
      <w:r w:rsidRPr="00DF5860">
        <w:rPr>
          <w:rFonts w:ascii="Segoe UI" w:hAnsi="Segoe UI" w:cs="Segoe UI"/>
          <w:sz w:val="20"/>
          <w:szCs w:val="20"/>
        </w:rPr>
        <w:t xml:space="preserve">A delay in supply of a medicine to a pharmacy due to </w:t>
      </w:r>
      <w:r w:rsidRPr="000D34E5">
        <w:rPr>
          <w:rFonts w:ascii="Segoe UI" w:hAnsi="Segoe UI" w:cs="Segoe UI"/>
          <w:b/>
          <w:sz w:val="20"/>
          <w:szCs w:val="20"/>
        </w:rPr>
        <w:t>logistic reasons</w:t>
      </w:r>
      <w:r w:rsidRPr="00DF5860">
        <w:rPr>
          <w:rFonts w:ascii="Segoe UI" w:hAnsi="Segoe UI" w:cs="Segoe UI"/>
          <w:sz w:val="20"/>
          <w:szCs w:val="20"/>
        </w:rPr>
        <w:t xml:space="preserve"> or an error in delivery would not be considered as a medicine shortage as it is, in essence, a logistics issue and the medicine is generally available. </w:t>
      </w:r>
    </w:p>
    <w:p w:rsidR="00A057AB" w:rsidRPr="00DF5860" w:rsidRDefault="00A057AB" w:rsidP="00A057AB">
      <w:pPr>
        <w:pStyle w:val="ListParagraph"/>
        <w:autoSpaceDE w:val="0"/>
        <w:autoSpaceDN w:val="0"/>
        <w:adjustRightInd w:val="0"/>
        <w:ind w:left="426"/>
        <w:jc w:val="both"/>
        <w:rPr>
          <w:rFonts w:ascii="Segoe UI" w:hAnsi="Segoe UI" w:cs="Segoe UI"/>
          <w:sz w:val="20"/>
          <w:szCs w:val="20"/>
        </w:rPr>
      </w:pPr>
    </w:p>
    <w:p w:rsidR="00A057AB" w:rsidRPr="00DF5860" w:rsidRDefault="00A057AB" w:rsidP="00A057AB">
      <w:pPr>
        <w:pStyle w:val="ListParagraph"/>
        <w:numPr>
          <w:ilvl w:val="0"/>
          <w:numId w:val="19"/>
        </w:numPr>
        <w:autoSpaceDE w:val="0"/>
        <w:autoSpaceDN w:val="0"/>
        <w:adjustRightInd w:val="0"/>
        <w:ind w:left="426"/>
        <w:jc w:val="both"/>
        <w:rPr>
          <w:rFonts w:ascii="Segoe UI" w:hAnsi="Segoe UI" w:cs="Segoe UI"/>
          <w:sz w:val="20"/>
          <w:szCs w:val="20"/>
        </w:rPr>
      </w:pPr>
      <w:r w:rsidRPr="00DF5860">
        <w:rPr>
          <w:rFonts w:ascii="Segoe UI" w:hAnsi="Segoe UI" w:cs="Segoe UI"/>
          <w:sz w:val="20"/>
          <w:szCs w:val="20"/>
        </w:rPr>
        <w:t xml:space="preserve">Where normal supply to a wholesale distributor has been delayed, but there is </w:t>
      </w:r>
      <w:r w:rsidRPr="000D34E5">
        <w:rPr>
          <w:rFonts w:ascii="Segoe UI" w:hAnsi="Segoe UI" w:cs="Segoe UI"/>
          <w:b/>
          <w:sz w:val="20"/>
          <w:szCs w:val="20"/>
        </w:rPr>
        <w:t xml:space="preserve">sufficient stock at wholesale level </w:t>
      </w:r>
      <w:r w:rsidRPr="00DF5860">
        <w:rPr>
          <w:rFonts w:ascii="Segoe UI" w:hAnsi="Segoe UI" w:cs="Segoe UI"/>
          <w:sz w:val="20"/>
          <w:szCs w:val="20"/>
        </w:rPr>
        <w:t>that normal supply to patients will not be impacted.</w:t>
      </w:r>
    </w:p>
    <w:p w:rsidR="00A057AB" w:rsidRPr="00DF5860" w:rsidRDefault="00A057AB" w:rsidP="00A057AB">
      <w:pPr>
        <w:autoSpaceDE w:val="0"/>
        <w:autoSpaceDN w:val="0"/>
        <w:adjustRightInd w:val="0"/>
        <w:ind w:left="426"/>
        <w:jc w:val="both"/>
        <w:rPr>
          <w:rFonts w:ascii="Segoe UI" w:hAnsi="Segoe UI" w:cs="Segoe UI"/>
          <w:sz w:val="20"/>
          <w:szCs w:val="20"/>
        </w:rPr>
      </w:pPr>
    </w:p>
    <w:p w:rsidR="00A057AB" w:rsidRPr="00DF5860" w:rsidRDefault="00A057AB" w:rsidP="00A057AB">
      <w:pPr>
        <w:pStyle w:val="ListParagraph"/>
        <w:numPr>
          <w:ilvl w:val="0"/>
          <w:numId w:val="19"/>
        </w:numPr>
        <w:autoSpaceDE w:val="0"/>
        <w:autoSpaceDN w:val="0"/>
        <w:adjustRightInd w:val="0"/>
        <w:ind w:left="426"/>
        <w:jc w:val="both"/>
        <w:rPr>
          <w:rFonts w:ascii="Segoe UI" w:hAnsi="Segoe UI" w:cs="Segoe UI"/>
          <w:sz w:val="20"/>
          <w:szCs w:val="20"/>
        </w:rPr>
      </w:pPr>
      <w:r w:rsidRPr="00DF5860">
        <w:rPr>
          <w:rFonts w:ascii="Segoe UI" w:hAnsi="Segoe UI" w:cs="Segoe UI"/>
          <w:sz w:val="20"/>
          <w:szCs w:val="20"/>
        </w:rPr>
        <w:t xml:space="preserve">Where </w:t>
      </w:r>
      <w:r w:rsidRPr="000D34E5">
        <w:rPr>
          <w:rFonts w:ascii="Segoe UI" w:hAnsi="Segoe UI" w:cs="Segoe UI"/>
          <w:b/>
          <w:sz w:val="20"/>
          <w:szCs w:val="20"/>
        </w:rPr>
        <w:t>only one wholesaler</w:t>
      </w:r>
      <w:r w:rsidRPr="000D34E5">
        <w:rPr>
          <w:rFonts w:ascii="Segoe UI" w:hAnsi="Segoe UI" w:cs="Segoe UI"/>
          <w:sz w:val="20"/>
          <w:szCs w:val="20"/>
        </w:rPr>
        <w:t xml:space="preserve"> </w:t>
      </w:r>
      <w:r w:rsidRPr="00DF5860">
        <w:rPr>
          <w:rFonts w:ascii="Segoe UI" w:hAnsi="Segoe UI" w:cs="Segoe UI"/>
          <w:sz w:val="20"/>
          <w:szCs w:val="20"/>
        </w:rPr>
        <w:t>is not in a situation to supply the particular medicine and others can supply the medicine.</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Exempt medicinal products (EMPs) are part of mainstay treatment of some conditions. Where this is the case and a shortage occurs with these EMPs, the framework will be applicable.</w:t>
      </w:r>
    </w:p>
    <w:p w:rsidR="00A057AB" w:rsidRDefault="00A057AB" w:rsidP="00A057AB">
      <w:pPr>
        <w:autoSpaceDE w:val="0"/>
        <w:autoSpaceDN w:val="0"/>
        <w:adjustRightInd w:val="0"/>
        <w:jc w:val="both"/>
        <w:rPr>
          <w:rFonts w:ascii="Segoe UI" w:hAnsi="Segoe UI" w:cs="Segoe UI"/>
          <w:color w:val="000000"/>
          <w:sz w:val="20"/>
          <w:szCs w:val="20"/>
        </w:rPr>
      </w:pPr>
    </w:p>
    <w:p w:rsidR="00A057AB" w:rsidRDefault="00A057AB" w:rsidP="00A057AB">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 xml:space="preserve">The definition of a shortage also allows stakeholders to identify a potential shortage situation. Not all potential shortages will result in actual shortages. One key aspect in the mitigation of a possible shortage is early notification to the HPRA. The earlier the notification of a potential or actual shortage, the more time there is to possibly prevent it occurring or greatly reduce its impact by allowing stakeholders to find alternative solutions. </w:t>
      </w:r>
    </w:p>
    <w:p w:rsidR="00A057AB" w:rsidRPr="00BF20F3" w:rsidRDefault="00A057AB" w:rsidP="00A057AB">
      <w:pPr>
        <w:pStyle w:val="HPRAHeadingL1"/>
        <w:jc w:val="both"/>
      </w:pPr>
      <w:bookmarkStart w:id="4" w:name="_Toc504295681"/>
      <w:bookmarkStart w:id="5" w:name="_Toc521497271"/>
      <w:r>
        <w:lastRenderedPageBreak/>
        <w:t>Role of Stakeholders</w:t>
      </w:r>
      <w:bookmarkEnd w:id="4"/>
      <w:bookmarkEnd w:id="5"/>
    </w:p>
    <w:p w:rsidR="00A057AB" w:rsidRDefault="00A057AB" w:rsidP="00A057AB">
      <w:pPr>
        <w:pStyle w:val="HPRAMainBodyText"/>
        <w:jc w:val="both"/>
      </w:pPr>
    </w:p>
    <w:p w:rsidR="00A057AB" w:rsidRDefault="00A057AB" w:rsidP="00A057AB">
      <w:pPr>
        <w:pStyle w:val="HPRAMainBodyText"/>
        <w:jc w:val="both"/>
      </w:pPr>
      <w:r>
        <w:t>All stakeholders involved in the medicine supply chain have a role in ensuring access to medicines.</w:t>
      </w:r>
      <w:r w:rsidRPr="005C5A0B">
        <w:t xml:space="preserve"> </w:t>
      </w:r>
      <w:r>
        <w:t>As a consequence, all stakeholders in the supply chain have important roles in the prevention and management of shortages. The sections below outline the roles of different stakeholder groups in the management of shortages.</w:t>
      </w:r>
    </w:p>
    <w:p w:rsidR="00A057AB" w:rsidRDefault="00A057AB" w:rsidP="00A057AB">
      <w:pPr>
        <w:pStyle w:val="HPRAMainBodyText"/>
        <w:jc w:val="both"/>
      </w:pPr>
    </w:p>
    <w:p w:rsidR="00A057AB" w:rsidRDefault="00A057AB" w:rsidP="00A057AB">
      <w:pPr>
        <w:pStyle w:val="HPRAMainBodyText"/>
        <w:jc w:val="center"/>
      </w:pPr>
    </w:p>
    <w:p w:rsidR="00A057AB" w:rsidRDefault="00A057AB" w:rsidP="00A057AB">
      <w:pPr>
        <w:pStyle w:val="HPRAMainBodyText"/>
        <w:jc w:val="center"/>
      </w:pPr>
      <w:r>
        <w:rPr>
          <w:noProof/>
          <w:lang w:eastAsia="en-IE"/>
        </w:rPr>
        <w:drawing>
          <wp:inline distT="0" distB="0" distL="0" distR="0" wp14:anchorId="2FC2F10A" wp14:editId="64A5D636">
            <wp:extent cx="4565402" cy="2324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7809" cy="2345688"/>
                    </a:xfrm>
                    <a:prstGeom prst="rect">
                      <a:avLst/>
                    </a:prstGeom>
                    <a:noFill/>
                  </pic:spPr>
                </pic:pic>
              </a:graphicData>
            </a:graphic>
          </wp:inline>
        </w:drawing>
      </w:r>
    </w:p>
    <w:p w:rsidR="00A057AB" w:rsidRDefault="00A057AB" w:rsidP="00A057AB">
      <w:pPr>
        <w:pStyle w:val="HPRAMainBodyText"/>
        <w:jc w:val="center"/>
        <w:rPr>
          <w:b/>
        </w:rPr>
      </w:pPr>
    </w:p>
    <w:p w:rsidR="00A057AB" w:rsidRDefault="00A057AB" w:rsidP="00A057AB">
      <w:pPr>
        <w:pStyle w:val="HPRAMainBodyText"/>
        <w:jc w:val="center"/>
      </w:pPr>
      <w:r>
        <w:rPr>
          <w:b/>
        </w:rPr>
        <w:t>Figure 1:</w:t>
      </w:r>
      <w:r>
        <w:t xml:space="preserve"> Multi</w:t>
      </w:r>
      <w:r w:rsidR="002853F3">
        <w:t>-</w:t>
      </w:r>
      <w:r>
        <w:t>stakeholder involvement</w:t>
      </w:r>
    </w:p>
    <w:p w:rsidR="00A057AB" w:rsidRDefault="00A057AB" w:rsidP="00A057AB">
      <w:pPr>
        <w:pStyle w:val="HPRAMainBodyText"/>
        <w:jc w:val="both"/>
      </w:pPr>
    </w:p>
    <w:p w:rsidR="00A057AB" w:rsidRDefault="00A057AB" w:rsidP="00A057AB">
      <w:pPr>
        <w:pStyle w:val="HPRAMainBodyText"/>
        <w:jc w:val="both"/>
      </w:pPr>
    </w:p>
    <w:p w:rsidR="00A057AB" w:rsidRDefault="00A057AB" w:rsidP="00A057AB">
      <w:pPr>
        <w:pStyle w:val="HPRAHeadingL2"/>
        <w:jc w:val="both"/>
      </w:pPr>
      <w:r>
        <w:t xml:space="preserve">Marketing authorisation holders </w:t>
      </w:r>
    </w:p>
    <w:p w:rsidR="00A057AB" w:rsidRDefault="00A057AB" w:rsidP="00A057AB">
      <w:pPr>
        <w:pStyle w:val="HPRAHeadingL2"/>
        <w:numPr>
          <w:ilvl w:val="0"/>
          <w:numId w:val="0"/>
        </w:numPr>
        <w:ind w:left="709"/>
        <w:jc w:val="both"/>
      </w:pPr>
    </w:p>
    <w:p w:rsidR="00A057AB" w:rsidRDefault="00A057AB" w:rsidP="00A057AB">
      <w:pPr>
        <w:pStyle w:val="HPRAMainBodyText"/>
        <w:jc w:val="both"/>
      </w:pPr>
      <w:r>
        <w:rPr>
          <w:noProof/>
          <w:lang w:eastAsia="en-IE"/>
        </w:rPr>
        <w:drawing>
          <wp:anchor distT="0" distB="0" distL="114300" distR="114300" simplePos="0" relativeHeight="251667456" behindDoc="1" locked="0" layoutInCell="1" allowOverlap="1" wp14:anchorId="4917BDB1" wp14:editId="2ED5149B">
            <wp:simplePos x="0" y="0"/>
            <wp:positionH relativeFrom="column">
              <wp:posOffset>3810</wp:posOffset>
            </wp:positionH>
            <wp:positionV relativeFrom="paragraph">
              <wp:posOffset>221016</wp:posOffset>
            </wp:positionV>
            <wp:extent cx="842645" cy="1267460"/>
            <wp:effectExtent l="0" t="0" r="0" b="8890"/>
            <wp:wrapTight wrapText="bothSides">
              <wp:wrapPolygon edited="0">
                <wp:start x="0" y="0"/>
                <wp:lineTo x="0" y="21427"/>
                <wp:lineTo x="20998" y="21427"/>
                <wp:lineTo x="209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2645" cy="1267460"/>
                    </a:xfrm>
                    <a:prstGeom prst="rect">
                      <a:avLst/>
                    </a:prstGeom>
                    <a:noFill/>
                  </pic:spPr>
                </pic:pic>
              </a:graphicData>
            </a:graphic>
            <wp14:sizeRelH relativeFrom="margin">
              <wp14:pctWidth>0</wp14:pctWidth>
            </wp14:sizeRelH>
            <wp14:sizeRelV relativeFrom="margin">
              <wp14:pctHeight>0</wp14:pctHeight>
            </wp14:sizeRelV>
          </wp:anchor>
        </w:drawing>
      </w:r>
      <w:r>
        <w:t>Marketing authorisation holders (MAHs) are legally obliged, within the limits of their responsibilities, to ensure appropriate and continued supplies to meet the needs of patients in the State. They have oversight of the supply of their medicines nationally and globally. They can therefore continually align demand with supply as well as understand the impact of a given shortage on patients and prepare an appropriate response. MAHs also develop strategies to prevent shortages from occurring.</w:t>
      </w:r>
    </w:p>
    <w:p w:rsidR="00A057AB" w:rsidRDefault="00A057AB" w:rsidP="00A057AB">
      <w:pPr>
        <w:pStyle w:val="HPRAMainBodyText"/>
        <w:jc w:val="both"/>
      </w:pPr>
    </w:p>
    <w:p w:rsidR="00A057AB" w:rsidRDefault="00A057AB" w:rsidP="00A057AB">
      <w:pPr>
        <w:pStyle w:val="HPRAMainBodyText"/>
        <w:jc w:val="both"/>
      </w:pPr>
      <w:r>
        <w:t>Where an actual or potential shortage occurs, MAHs assess the circumstances, perform an impact assessment to determine the potential impact of the shortage on patients and notify the HPRA. MAHs also propose a proportionate response to reduce the impact on patients.</w:t>
      </w:r>
    </w:p>
    <w:p w:rsidR="00A057AB" w:rsidRDefault="00A057AB" w:rsidP="00A057AB">
      <w:pPr>
        <w:pStyle w:val="HPRAMainBodyText"/>
        <w:jc w:val="both"/>
      </w:pPr>
    </w:p>
    <w:p w:rsidR="00A057AB" w:rsidRDefault="00A057AB" w:rsidP="00A057AB">
      <w:pPr>
        <w:pStyle w:val="HPRAMainBodyText"/>
        <w:jc w:val="both"/>
      </w:pPr>
    </w:p>
    <w:p w:rsidR="00A057AB" w:rsidRDefault="00A057AB" w:rsidP="00A057AB">
      <w:pPr>
        <w:pStyle w:val="HPRAMainBodyText"/>
        <w:jc w:val="both"/>
      </w:pPr>
    </w:p>
    <w:p w:rsidR="00A057AB" w:rsidRDefault="00A057AB" w:rsidP="00A057AB">
      <w:pPr>
        <w:pStyle w:val="HPRAMainBodyText"/>
        <w:jc w:val="both"/>
      </w:pPr>
    </w:p>
    <w:p w:rsidR="00A057AB" w:rsidRDefault="00A057AB" w:rsidP="00A057AB">
      <w:pPr>
        <w:pStyle w:val="HPRAHeadingL2"/>
        <w:jc w:val="both"/>
      </w:pPr>
      <w:r>
        <w:lastRenderedPageBreak/>
        <w:t xml:space="preserve">Manufacturers </w:t>
      </w:r>
    </w:p>
    <w:p w:rsidR="00A057AB" w:rsidRDefault="00A057AB" w:rsidP="00A057AB">
      <w:pPr>
        <w:pStyle w:val="HPRAMainBodyText"/>
        <w:jc w:val="both"/>
      </w:pPr>
    </w:p>
    <w:p w:rsidR="00A057AB" w:rsidRDefault="00A057AB" w:rsidP="00A057AB">
      <w:pPr>
        <w:pStyle w:val="HPRAMainBodyText"/>
        <w:jc w:val="both"/>
      </w:pPr>
      <w:r>
        <w:rPr>
          <w:noProof/>
          <w:lang w:eastAsia="en-IE"/>
        </w:rPr>
        <w:drawing>
          <wp:anchor distT="0" distB="0" distL="114300" distR="114300" simplePos="0" relativeHeight="251669504" behindDoc="1" locked="0" layoutInCell="1" allowOverlap="1" wp14:anchorId="3F8447F7" wp14:editId="50C99769">
            <wp:simplePos x="0" y="0"/>
            <wp:positionH relativeFrom="column">
              <wp:posOffset>8890</wp:posOffset>
            </wp:positionH>
            <wp:positionV relativeFrom="paragraph">
              <wp:posOffset>207010</wp:posOffset>
            </wp:positionV>
            <wp:extent cx="842645" cy="1278946"/>
            <wp:effectExtent l="0" t="0" r="0" b="0"/>
            <wp:wrapTight wrapText="bothSides">
              <wp:wrapPolygon edited="0">
                <wp:start x="0" y="0"/>
                <wp:lineTo x="0" y="21235"/>
                <wp:lineTo x="20998" y="21235"/>
                <wp:lineTo x="209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2645" cy="1278946"/>
                    </a:xfrm>
                    <a:prstGeom prst="rect">
                      <a:avLst/>
                    </a:prstGeom>
                    <a:noFill/>
                  </pic:spPr>
                </pic:pic>
              </a:graphicData>
            </a:graphic>
          </wp:anchor>
        </w:drawing>
      </w:r>
      <w:r w:rsidRPr="004F177A">
        <w:t xml:space="preserve">Manufacturers </w:t>
      </w:r>
      <w:r>
        <w:t xml:space="preserve">also </w:t>
      </w:r>
      <w:r w:rsidRPr="004F177A">
        <w:t>have a</w:t>
      </w:r>
      <w:r>
        <w:t xml:space="preserve"> legal</w:t>
      </w:r>
      <w:r w:rsidRPr="004F177A">
        <w:t xml:space="preserve"> obligation</w:t>
      </w:r>
      <w:r>
        <w:t>,</w:t>
      </w:r>
      <w:r w:rsidRPr="004F177A">
        <w:t xml:space="preserve"> </w:t>
      </w:r>
      <w:r>
        <w:t xml:space="preserve">within the limits of their responsibility, </w:t>
      </w:r>
      <w:r w:rsidRPr="004F177A">
        <w:t xml:space="preserve">to ensure appropriate and continued supplies of products manufactured by them so that the needs of patients are </w:t>
      </w:r>
      <w:r>
        <w:t>met. Capacity to manage reasonable demand fluctuations should be built into operating and planning procedures to allow adjustments to be made to supply to the market thereby preventing a shortage. Manufacturers also implement risk-based strategies to preventing shortages due to the manufacturing process.</w:t>
      </w:r>
    </w:p>
    <w:p w:rsidR="00A057AB" w:rsidRDefault="00A057AB" w:rsidP="00A057AB">
      <w:pPr>
        <w:pStyle w:val="HPRAMainBodyText"/>
        <w:jc w:val="both"/>
      </w:pPr>
    </w:p>
    <w:p w:rsidR="00A057AB" w:rsidRPr="00AF185F" w:rsidRDefault="00A057AB" w:rsidP="00A057AB">
      <w:pPr>
        <w:pStyle w:val="HPRAMainBodyText"/>
        <w:jc w:val="both"/>
      </w:pPr>
      <w:r>
        <w:t>Manufacturers also identify manufacturing issues that are general in nature and not specific to any product but which could result in potential or actual shortages. This is particularly important where a single manufacturer is contracted to produce medicinal products for a number of MAHs. The impact of a manufacturing issue in this case could extend beyond one product. The manufacturer should</w:t>
      </w:r>
      <w:r w:rsidRPr="00455D9D">
        <w:t xml:space="preserve"> report these issues to the HPRA independently of the MAH</w:t>
      </w:r>
      <w:r>
        <w:t>s</w:t>
      </w:r>
      <w:r w:rsidRPr="00455D9D">
        <w:t>.</w:t>
      </w:r>
      <w:r>
        <w:t xml:space="preserve"> </w:t>
      </w:r>
    </w:p>
    <w:p w:rsidR="00A057AB" w:rsidRPr="00742EFE" w:rsidRDefault="00A057AB" w:rsidP="00A057AB">
      <w:pPr>
        <w:pStyle w:val="HPRAMainBodyText"/>
        <w:jc w:val="both"/>
      </w:pPr>
      <w:r w:rsidRPr="00B365BB">
        <w:t xml:space="preserve">  </w:t>
      </w:r>
    </w:p>
    <w:p w:rsidR="00A057AB" w:rsidRDefault="00A057AB" w:rsidP="00A057AB">
      <w:pPr>
        <w:pStyle w:val="HPRAHeadingL2"/>
        <w:jc w:val="both"/>
      </w:pPr>
      <w:r>
        <w:t>Wholesale distributors</w:t>
      </w:r>
    </w:p>
    <w:p w:rsidR="00A057AB" w:rsidRDefault="00A057AB" w:rsidP="00A057AB">
      <w:pPr>
        <w:pStyle w:val="HPRAMainBodyText"/>
        <w:jc w:val="both"/>
      </w:pPr>
    </w:p>
    <w:p w:rsidR="00A057AB" w:rsidRDefault="00A057AB" w:rsidP="00A057AB">
      <w:pPr>
        <w:pStyle w:val="HPRAMainBodyText"/>
        <w:jc w:val="both"/>
      </w:pPr>
      <w:r>
        <w:rPr>
          <w:noProof/>
          <w:lang w:eastAsia="en-IE"/>
        </w:rPr>
        <w:drawing>
          <wp:anchor distT="0" distB="0" distL="114300" distR="114300" simplePos="0" relativeHeight="251670528" behindDoc="1" locked="0" layoutInCell="1" allowOverlap="1" wp14:anchorId="60C27853" wp14:editId="1F8EF88C">
            <wp:simplePos x="0" y="0"/>
            <wp:positionH relativeFrom="margin">
              <wp:posOffset>0</wp:posOffset>
            </wp:positionH>
            <wp:positionV relativeFrom="paragraph">
              <wp:posOffset>393329</wp:posOffset>
            </wp:positionV>
            <wp:extent cx="844980" cy="1277680"/>
            <wp:effectExtent l="0" t="0" r="0" b="0"/>
            <wp:wrapTight wrapText="bothSides">
              <wp:wrapPolygon edited="0">
                <wp:start x="0" y="0"/>
                <wp:lineTo x="0" y="21256"/>
                <wp:lineTo x="20950" y="21256"/>
                <wp:lineTo x="2095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4980" cy="1277680"/>
                    </a:xfrm>
                    <a:prstGeom prst="rect">
                      <a:avLst/>
                    </a:prstGeom>
                    <a:noFill/>
                  </pic:spPr>
                </pic:pic>
              </a:graphicData>
            </a:graphic>
          </wp:anchor>
        </w:drawing>
      </w:r>
      <w:r>
        <w:t xml:space="preserve">Wholesale distributors have a legal obligation to ensure, within the limits of their responsibility, appropriate and continued supplies of medicines so that the needs of patients are met. Wholesale distributors act as the interface between the MAH or manufacturer and persons entitled to supply medicines to the public; they may be well-placed to identify signals of a medicine shortage. </w:t>
      </w:r>
    </w:p>
    <w:p w:rsidR="00A057AB" w:rsidRDefault="00A057AB" w:rsidP="00A057AB">
      <w:pPr>
        <w:pStyle w:val="HPRAMainBodyText"/>
        <w:jc w:val="both"/>
      </w:pPr>
    </w:p>
    <w:p w:rsidR="00A057AB" w:rsidRDefault="00A057AB" w:rsidP="00A057AB">
      <w:pPr>
        <w:pStyle w:val="HPRAMainBodyText"/>
        <w:jc w:val="both"/>
      </w:pPr>
      <w:r>
        <w:t>During a medicine shortage, wholesale distributors are in a position to source medicines, monitor and communicate stock levels, and manage equitable distribution to hospital and community pharmacies through the proportional allocation of remaining stocks. In many cases, the wholesaler is in a position to supply an alternative treatment to the healthcare professional. W</w:t>
      </w:r>
      <w:r w:rsidRPr="00455D9D">
        <w:t>holesale distributors can also report to the HPRA any general issues that could result in potential or actual shortages of medicines</w:t>
      </w:r>
      <w:r>
        <w:t>, independently of the MAH</w:t>
      </w:r>
      <w:r w:rsidRPr="00455D9D">
        <w:t>.</w:t>
      </w:r>
      <w:r>
        <w:t xml:space="preserve"> </w:t>
      </w:r>
    </w:p>
    <w:p w:rsidR="00A057AB" w:rsidRDefault="00A057AB" w:rsidP="00A057AB">
      <w:pPr>
        <w:pStyle w:val="HPRAMainBodyText"/>
        <w:jc w:val="both"/>
      </w:pPr>
    </w:p>
    <w:p w:rsidR="00A057AB" w:rsidRDefault="00A057AB" w:rsidP="00A057AB">
      <w:pPr>
        <w:pStyle w:val="HPRAHeadingL2"/>
        <w:jc w:val="both"/>
      </w:pPr>
      <w:r>
        <w:t>Health Services Executive</w:t>
      </w:r>
    </w:p>
    <w:p w:rsidR="00A057AB" w:rsidRDefault="00A057AB" w:rsidP="00A057AB">
      <w:pPr>
        <w:pStyle w:val="HPRAMainBodyText"/>
        <w:jc w:val="both"/>
      </w:pPr>
    </w:p>
    <w:p w:rsidR="00A057AB" w:rsidRDefault="00A057AB" w:rsidP="00A057AB">
      <w:pPr>
        <w:pStyle w:val="HPRAMainBodyText"/>
        <w:jc w:val="both"/>
      </w:pPr>
      <w:r>
        <w:rPr>
          <w:noProof/>
          <w:lang w:eastAsia="en-IE"/>
        </w:rPr>
        <w:drawing>
          <wp:anchor distT="0" distB="0" distL="114300" distR="114300" simplePos="0" relativeHeight="251668480" behindDoc="1" locked="0" layoutInCell="1" allowOverlap="1" wp14:anchorId="4AE1D805" wp14:editId="55290464">
            <wp:simplePos x="0" y="0"/>
            <wp:positionH relativeFrom="column">
              <wp:posOffset>635</wp:posOffset>
            </wp:positionH>
            <wp:positionV relativeFrom="paragraph">
              <wp:posOffset>214630</wp:posOffset>
            </wp:positionV>
            <wp:extent cx="862330" cy="1346200"/>
            <wp:effectExtent l="0" t="0" r="0" b="6350"/>
            <wp:wrapTight wrapText="bothSides">
              <wp:wrapPolygon edited="0">
                <wp:start x="0" y="0"/>
                <wp:lineTo x="0" y="21396"/>
                <wp:lineTo x="20996" y="21396"/>
                <wp:lineTo x="209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5740"/>
                    <a:stretch/>
                  </pic:blipFill>
                  <pic:spPr bwMode="auto">
                    <a:xfrm>
                      <a:off x="0" y="0"/>
                      <a:ext cx="86233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BE765D">
        <w:t xml:space="preserve">The Health Service Executive (HSE) is </w:t>
      </w:r>
      <w:r>
        <w:t>responsible for</w:t>
      </w:r>
      <w:r w:rsidRPr="00BE765D">
        <w:t xml:space="preserve"> policy and operational aspects of timely access to medicines through</w:t>
      </w:r>
      <w:r>
        <w:t xml:space="preserve"> reimbursement schemes, </w:t>
      </w:r>
      <w:r w:rsidRPr="00BE765D">
        <w:t>purchasing arrangements</w:t>
      </w:r>
      <w:r>
        <w:t xml:space="preserve"> for certain medicines and</w:t>
      </w:r>
      <w:r w:rsidRPr="00BE765D">
        <w:t xml:space="preserve"> clinical </w:t>
      </w:r>
      <w:r>
        <w:t>guidelines</w:t>
      </w:r>
      <w:r w:rsidRPr="00BE765D">
        <w:t xml:space="preserve">. </w:t>
      </w:r>
      <w:r>
        <w:t xml:space="preserve">The HSE may also identify alternative medicines or therapies for patients if a medicine is unavailable due to a shortage. Through supply and pricing agreements, the HSE also provides a reasonable level of certainty so that there is a predictable environment for MAHs to supply their products and prevent shortages. The agreements also facilitate prevention and mitigation measures which include </w:t>
      </w:r>
      <w:r>
        <w:lastRenderedPageBreak/>
        <w:t xml:space="preserve">an expectation that suppliers will source alternatives to shortages and processes to be followed when medicines are transferred from one MAH to another. </w:t>
      </w:r>
    </w:p>
    <w:p w:rsidR="00A057AB" w:rsidRDefault="00A057AB" w:rsidP="00A057AB">
      <w:pPr>
        <w:pStyle w:val="HPRAMainBodyText"/>
        <w:jc w:val="both"/>
      </w:pPr>
    </w:p>
    <w:p w:rsidR="00A057AB" w:rsidRDefault="00A057AB" w:rsidP="00A057AB">
      <w:pPr>
        <w:pStyle w:val="HPRAMainBodyText"/>
        <w:jc w:val="both"/>
      </w:pPr>
      <w:r>
        <w:t xml:space="preserve">In case of shortages with a significant public health impact, the HSE can issue clinical guidance to healthcare professionals, where appropriate. The HSE will also liaise with the HPRA in relation to potential or actual shortages which it becomes aware of to ensure a co-ordinated approach. </w:t>
      </w:r>
    </w:p>
    <w:p w:rsidR="00A057AB" w:rsidRDefault="00A057AB" w:rsidP="00A057AB">
      <w:pPr>
        <w:pStyle w:val="HPRAMainBodyText"/>
        <w:jc w:val="both"/>
      </w:pPr>
    </w:p>
    <w:p w:rsidR="00A057AB" w:rsidRDefault="00A057AB" w:rsidP="00A057AB">
      <w:pPr>
        <w:pStyle w:val="HPRAHeadingL2"/>
        <w:jc w:val="both"/>
      </w:pPr>
      <w:r>
        <w:t>Health Products Regulatory Authority</w:t>
      </w:r>
    </w:p>
    <w:p w:rsidR="00A057AB" w:rsidRDefault="00A057AB" w:rsidP="00A057AB">
      <w:pPr>
        <w:pStyle w:val="HPRAHeadingL2"/>
        <w:numPr>
          <w:ilvl w:val="0"/>
          <w:numId w:val="0"/>
        </w:numPr>
        <w:jc w:val="both"/>
      </w:pPr>
    </w:p>
    <w:p w:rsidR="00A057AB" w:rsidRDefault="00A057AB" w:rsidP="00A057AB">
      <w:pPr>
        <w:autoSpaceDE w:val="0"/>
        <w:autoSpaceDN w:val="0"/>
        <w:adjustRightInd w:val="0"/>
        <w:jc w:val="both"/>
        <w:rPr>
          <w:rFonts w:ascii="Segoe UI" w:hAnsi="Segoe UI" w:cs="Segoe UI"/>
          <w:sz w:val="20"/>
          <w:szCs w:val="20"/>
        </w:rPr>
      </w:pPr>
      <w:r w:rsidRPr="00605B71">
        <w:rPr>
          <w:rFonts w:ascii="Segoe UI" w:hAnsi="Segoe UI" w:cs="Segoe UI"/>
          <w:noProof/>
          <w:color w:val="000000"/>
          <w:sz w:val="20"/>
          <w:szCs w:val="20"/>
          <w:lang w:eastAsia="en-IE"/>
        </w:rPr>
        <w:drawing>
          <wp:anchor distT="0" distB="0" distL="114300" distR="114300" simplePos="0" relativeHeight="251671552" behindDoc="1" locked="0" layoutInCell="1" allowOverlap="1" wp14:anchorId="219A6299" wp14:editId="3AC53B22">
            <wp:simplePos x="0" y="0"/>
            <wp:positionH relativeFrom="column">
              <wp:posOffset>3810</wp:posOffset>
            </wp:positionH>
            <wp:positionV relativeFrom="paragraph">
              <wp:posOffset>197198</wp:posOffset>
            </wp:positionV>
            <wp:extent cx="857250" cy="1296035"/>
            <wp:effectExtent l="0" t="0" r="0" b="0"/>
            <wp:wrapTight wrapText="bothSides">
              <wp:wrapPolygon edited="0">
                <wp:start x="0" y="0"/>
                <wp:lineTo x="0" y="21272"/>
                <wp:lineTo x="21120" y="21272"/>
                <wp:lineTo x="21120"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7250" cy="1296035"/>
                    </a:xfrm>
                    <a:prstGeom prst="rect">
                      <a:avLst/>
                    </a:prstGeom>
                  </pic:spPr>
                </pic:pic>
              </a:graphicData>
            </a:graphic>
            <wp14:sizeRelH relativeFrom="margin">
              <wp14:pctWidth>0</wp14:pctWidth>
            </wp14:sizeRelH>
            <wp14:sizeRelV relativeFrom="margin">
              <wp14:pctHeight>0</wp14:pctHeight>
            </wp14:sizeRelV>
          </wp:anchor>
        </w:drawing>
      </w:r>
      <w:r w:rsidRPr="00810CB4">
        <w:rPr>
          <w:rFonts w:ascii="Segoe UI" w:hAnsi="Segoe UI" w:cs="Segoe UI"/>
          <w:color w:val="000000"/>
          <w:sz w:val="20"/>
          <w:szCs w:val="20"/>
        </w:rPr>
        <w:t xml:space="preserve">The HPRA’s role </w:t>
      </w:r>
      <w:r>
        <w:rPr>
          <w:rFonts w:ascii="Segoe UI" w:hAnsi="Segoe UI" w:cs="Segoe UI"/>
          <w:color w:val="000000"/>
          <w:sz w:val="20"/>
          <w:szCs w:val="20"/>
        </w:rPr>
        <w:t>in medicine shortages is</w:t>
      </w:r>
      <w:r w:rsidRPr="00810CB4">
        <w:rPr>
          <w:rFonts w:ascii="Segoe UI" w:hAnsi="Segoe UI" w:cs="Segoe UI"/>
          <w:color w:val="000000"/>
          <w:sz w:val="20"/>
          <w:szCs w:val="20"/>
        </w:rPr>
        <w:t xml:space="preserve"> to co-ordinate the response to a shortage across stakeholders so that the </w:t>
      </w:r>
      <w:r>
        <w:rPr>
          <w:rFonts w:ascii="Segoe UI" w:hAnsi="Segoe UI" w:cs="Segoe UI"/>
          <w:color w:val="000000"/>
          <w:sz w:val="20"/>
          <w:szCs w:val="20"/>
        </w:rPr>
        <w:t>impact</w:t>
      </w:r>
      <w:r w:rsidRPr="00810CB4">
        <w:rPr>
          <w:rFonts w:ascii="Segoe UI" w:hAnsi="Segoe UI" w:cs="Segoe UI"/>
          <w:color w:val="000000"/>
          <w:sz w:val="20"/>
          <w:szCs w:val="20"/>
        </w:rPr>
        <w:t xml:space="preserve"> is mitigated as much as possible. </w:t>
      </w:r>
      <w:r w:rsidRPr="00FF27C7">
        <w:rPr>
          <w:rFonts w:ascii="Segoe UI" w:hAnsi="Segoe UI" w:cs="Segoe UI"/>
          <w:color w:val="000000"/>
          <w:sz w:val="20"/>
        </w:rPr>
        <w:t>T</w:t>
      </w:r>
      <w:r w:rsidRPr="00810CB4">
        <w:rPr>
          <w:rFonts w:ascii="Segoe UI" w:hAnsi="Segoe UI" w:cs="Segoe UI"/>
          <w:color w:val="000000"/>
          <w:sz w:val="20"/>
          <w:szCs w:val="20"/>
        </w:rPr>
        <w:t>he HPRA has a number of regulatory tools and strategies available to assist stakeholders</w:t>
      </w:r>
      <w:r w:rsidRPr="00F37CEE">
        <w:rPr>
          <w:rFonts w:ascii="Segoe UI" w:hAnsi="Segoe UI" w:cs="Segoe UI"/>
          <w:sz w:val="20"/>
          <w:szCs w:val="20"/>
        </w:rPr>
        <w:t xml:space="preserve"> in </w:t>
      </w:r>
      <w:r>
        <w:rPr>
          <w:rFonts w:ascii="Segoe UI" w:hAnsi="Segoe UI" w:cs="Segoe UI"/>
          <w:sz w:val="20"/>
          <w:szCs w:val="20"/>
        </w:rPr>
        <w:t xml:space="preserve">preventing or </w:t>
      </w:r>
      <w:r w:rsidRPr="00F37CEE">
        <w:rPr>
          <w:rFonts w:ascii="Segoe UI" w:hAnsi="Segoe UI" w:cs="Segoe UI"/>
          <w:sz w:val="20"/>
          <w:szCs w:val="20"/>
        </w:rPr>
        <w:t>minimi</w:t>
      </w:r>
      <w:r>
        <w:rPr>
          <w:rFonts w:ascii="Segoe UI" w:hAnsi="Segoe UI" w:cs="Segoe UI"/>
          <w:sz w:val="20"/>
          <w:szCs w:val="20"/>
        </w:rPr>
        <w:t>s</w:t>
      </w:r>
      <w:r w:rsidRPr="00F37CEE">
        <w:rPr>
          <w:rFonts w:ascii="Segoe UI" w:hAnsi="Segoe UI" w:cs="Segoe UI"/>
          <w:sz w:val="20"/>
          <w:szCs w:val="20"/>
        </w:rPr>
        <w:t>ing the impact of a medicine shortage</w:t>
      </w:r>
      <w:r>
        <w:rPr>
          <w:rFonts w:ascii="Segoe UI" w:hAnsi="Segoe UI" w:cs="Segoe UI"/>
          <w:sz w:val="20"/>
          <w:szCs w:val="20"/>
        </w:rPr>
        <w:t xml:space="preserve"> (</w:t>
      </w:r>
      <w:r w:rsidRPr="00F37CEE">
        <w:rPr>
          <w:rFonts w:ascii="Segoe UI" w:hAnsi="Segoe UI" w:cs="Segoe UI"/>
          <w:sz w:val="20"/>
          <w:szCs w:val="20"/>
        </w:rPr>
        <w:t xml:space="preserve">for example use of a </w:t>
      </w:r>
      <w:r>
        <w:rPr>
          <w:rFonts w:ascii="Segoe UI" w:hAnsi="Segoe UI" w:cs="Segoe UI"/>
          <w:sz w:val="20"/>
          <w:szCs w:val="20"/>
        </w:rPr>
        <w:t>b</w:t>
      </w:r>
      <w:r w:rsidRPr="00F37CEE">
        <w:rPr>
          <w:rFonts w:ascii="Segoe UI" w:hAnsi="Segoe UI" w:cs="Segoe UI"/>
          <w:sz w:val="20"/>
          <w:szCs w:val="20"/>
        </w:rPr>
        <w:t xml:space="preserve">atch </w:t>
      </w:r>
      <w:r>
        <w:rPr>
          <w:rFonts w:ascii="Segoe UI" w:hAnsi="Segoe UI" w:cs="Segoe UI"/>
          <w:sz w:val="20"/>
          <w:szCs w:val="20"/>
        </w:rPr>
        <w:t>s</w:t>
      </w:r>
      <w:r w:rsidRPr="00F37CEE">
        <w:rPr>
          <w:rFonts w:ascii="Segoe UI" w:hAnsi="Segoe UI" w:cs="Segoe UI"/>
          <w:sz w:val="20"/>
          <w:szCs w:val="20"/>
        </w:rPr>
        <w:t xml:space="preserve">pecific </w:t>
      </w:r>
      <w:r>
        <w:rPr>
          <w:rFonts w:ascii="Segoe UI" w:hAnsi="Segoe UI" w:cs="Segoe UI"/>
          <w:sz w:val="20"/>
          <w:szCs w:val="20"/>
        </w:rPr>
        <w:t>r</w:t>
      </w:r>
      <w:r w:rsidRPr="00F37CEE">
        <w:rPr>
          <w:rFonts w:ascii="Segoe UI" w:hAnsi="Segoe UI" w:cs="Segoe UI"/>
          <w:sz w:val="20"/>
          <w:szCs w:val="20"/>
        </w:rPr>
        <w:t xml:space="preserve">equest or the </w:t>
      </w:r>
      <w:r>
        <w:rPr>
          <w:rFonts w:ascii="Segoe UI" w:hAnsi="Segoe UI" w:cs="Segoe UI"/>
          <w:sz w:val="20"/>
          <w:szCs w:val="20"/>
        </w:rPr>
        <w:t>e</w:t>
      </w:r>
      <w:r w:rsidRPr="00F37CEE">
        <w:rPr>
          <w:rFonts w:ascii="Segoe UI" w:hAnsi="Segoe UI" w:cs="Segoe UI"/>
          <w:sz w:val="20"/>
          <w:szCs w:val="20"/>
        </w:rPr>
        <w:t xml:space="preserve">xempt </w:t>
      </w:r>
      <w:r>
        <w:rPr>
          <w:rFonts w:ascii="Segoe UI" w:hAnsi="Segoe UI" w:cs="Segoe UI"/>
          <w:sz w:val="20"/>
          <w:szCs w:val="20"/>
        </w:rPr>
        <w:t>m</w:t>
      </w:r>
      <w:r w:rsidRPr="00F37CEE">
        <w:rPr>
          <w:rFonts w:ascii="Segoe UI" w:hAnsi="Segoe UI" w:cs="Segoe UI"/>
          <w:sz w:val="20"/>
          <w:szCs w:val="20"/>
        </w:rPr>
        <w:t xml:space="preserve">edicinal </w:t>
      </w:r>
      <w:r>
        <w:rPr>
          <w:rFonts w:ascii="Segoe UI" w:hAnsi="Segoe UI" w:cs="Segoe UI"/>
          <w:sz w:val="20"/>
          <w:szCs w:val="20"/>
        </w:rPr>
        <w:t>p</w:t>
      </w:r>
      <w:r w:rsidRPr="00F37CEE">
        <w:rPr>
          <w:rFonts w:ascii="Segoe UI" w:hAnsi="Segoe UI" w:cs="Segoe UI"/>
          <w:sz w:val="20"/>
          <w:szCs w:val="20"/>
        </w:rPr>
        <w:t>roduct scheme</w:t>
      </w:r>
      <w:r>
        <w:rPr>
          <w:rFonts w:ascii="Segoe UI" w:hAnsi="Segoe UI" w:cs="Segoe UI"/>
          <w:sz w:val="20"/>
          <w:szCs w:val="20"/>
        </w:rPr>
        <w:t>).</w:t>
      </w:r>
      <w:r w:rsidRPr="00F37CEE">
        <w:rPr>
          <w:rFonts w:ascii="Segoe UI" w:hAnsi="Segoe UI" w:cs="Segoe UI"/>
          <w:sz w:val="20"/>
          <w:szCs w:val="20"/>
        </w:rPr>
        <w:t xml:space="preserve"> </w:t>
      </w:r>
      <w:r>
        <w:rPr>
          <w:rFonts w:ascii="Segoe UI" w:hAnsi="Segoe UI" w:cs="Segoe UI"/>
          <w:sz w:val="20"/>
          <w:szCs w:val="20"/>
        </w:rPr>
        <w:t>T</w:t>
      </w:r>
      <w:r w:rsidRPr="00855C71">
        <w:rPr>
          <w:rFonts w:ascii="Segoe UI" w:hAnsi="Segoe UI" w:cs="Segoe UI"/>
          <w:sz w:val="20"/>
          <w:szCs w:val="20"/>
        </w:rPr>
        <w:t>he HPRA prioritise</w:t>
      </w:r>
      <w:r>
        <w:rPr>
          <w:rFonts w:ascii="Segoe UI" w:hAnsi="Segoe UI" w:cs="Segoe UI"/>
          <w:sz w:val="20"/>
          <w:szCs w:val="20"/>
        </w:rPr>
        <w:t>s</w:t>
      </w:r>
      <w:r w:rsidRPr="00855C71">
        <w:rPr>
          <w:rFonts w:ascii="Segoe UI" w:hAnsi="Segoe UI" w:cs="Segoe UI"/>
          <w:sz w:val="20"/>
          <w:szCs w:val="20"/>
        </w:rPr>
        <w:t xml:space="preserve"> </w:t>
      </w:r>
      <w:r>
        <w:rPr>
          <w:rFonts w:ascii="Segoe UI" w:hAnsi="Segoe UI" w:cs="Segoe UI"/>
          <w:sz w:val="20"/>
          <w:szCs w:val="20"/>
        </w:rPr>
        <w:t>regulatory actions</w:t>
      </w:r>
      <w:r w:rsidRPr="00855C71">
        <w:rPr>
          <w:rFonts w:ascii="Segoe UI" w:hAnsi="Segoe UI" w:cs="Segoe UI"/>
          <w:sz w:val="20"/>
          <w:szCs w:val="20"/>
        </w:rPr>
        <w:t xml:space="preserve"> to </w:t>
      </w:r>
      <w:r>
        <w:rPr>
          <w:rFonts w:ascii="Segoe UI" w:hAnsi="Segoe UI" w:cs="Segoe UI"/>
          <w:sz w:val="20"/>
          <w:szCs w:val="20"/>
        </w:rPr>
        <w:t xml:space="preserve">reduce the impact of </w:t>
      </w:r>
      <w:r w:rsidRPr="00855C71">
        <w:rPr>
          <w:rFonts w:ascii="Segoe UI" w:hAnsi="Segoe UI" w:cs="Segoe UI"/>
          <w:sz w:val="20"/>
          <w:szCs w:val="20"/>
        </w:rPr>
        <w:t>shortage</w:t>
      </w:r>
      <w:r>
        <w:rPr>
          <w:rFonts w:ascii="Segoe UI" w:hAnsi="Segoe UI" w:cs="Segoe UI"/>
          <w:sz w:val="20"/>
          <w:szCs w:val="20"/>
        </w:rPr>
        <w:t xml:space="preserve">s. </w:t>
      </w:r>
      <w:r w:rsidRPr="00F37CEE">
        <w:rPr>
          <w:rFonts w:ascii="Segoe UI" w:hAnsi="Segoe UI" w:cs="Segoe UI"/>
          <w:sz w:val="20"/>
          <w:szCs w:val="20"/>
        </w:rPr>
        <w:t>Regulatory discretion may be employed to mitigate any significant risk to patients.</w:t>
      </w:r>
      <w:r>
        <w:rPr>
          <w:rFonts w:ascii="Segoe UI" w:hAnsi="Segoe UI" w:cs="Segoe UI"/>
          <w:sz w:val="20"/>
          <w:szCs w:val="20"/>
        </w:rPr>
        <w:t xml:space="preserve"> The HPRA provides information on</w:t>
      </w:r>
      <w:r w:rsidRPr="00F37CEE">
        <w:rPr>
          <w:rFonts w:ascii="Segoe UI" w:hAnsi="Segoe UI" w:cs="Segoe UI"/>
          <w:sz w:val="20"/>
          <w:szCs w:val="20"/>
        </w:rPr>
        <w:t xml:space="preserve"> particular medicine shortages</w:t>
      </w:r>
      <w:r>
        <w:rPr>
          <w:rFonts w:ascii="Segoe UI" w:hAnsi="Segoe UI" w:cs="Segoe UI"/>
          <w:sz w:val="20"/>
          <w:szCs w:val="20"/>
        </w:rPr>
        <w:t xml:space="preserve"> through its website and via other media where appropriate. </w:t>
      </w:r>
    </w:p>
    <w:p w:rsidR="00A057AB" w:rsidRPr="00F37CEE" w:rsidRDefault="00A057AB" w:rsidP="00A057AB">
      <w:pPr>
        <w:autoSpaceDE w:val="0"/>
        <w:autoSpaceDN w:val="0"/>
        <w:adjustRightInd w:val="0"/>
        <w:jc w:val="both"/>
        <w:rPr>
          <w:rFonts w:ascii="Segoe UI" w:hAnsi="Segoe UI" w:cs="Segoe UI"/>
          <w:sz w:val="20"/>
          <w:szCs w:val="20"/>
        </w:rPr>
      </w:pPr>
    </w:p>
    <w:p w:rsidR="00A057AB" w:rsidRDefault="00A057AB" w:rsidP="00A057AB">
      <w:pPr>
        <w:autoSpaceDE w:val="0"/>
        <w:autoSpaceDN w:val="0"/>
        <w:adjustRightInd w:val="0"/>
        <w:jc w:val="both"/>
        <w:rPr>
          <w:rFonts w:ascii="Segoe UI" w:hAnsi="Segoe UI" w:cs="Segoe UI"/>
          <w:sz w:val="20"/>
          <w:szCs w:val="20"/>
        </w:rPr>
      </w:pPr>
      <w:r>
        <w:rPr>
          <w:rFonts w:ascii="Segoe UI" w:hAnsi="Segoe UI" w:cs="Segoe UI"/>
          <w:sz w:val="20"/>
          <w:szCs w:val="20"/>
        </w:rPr>
        <w:t xml:space="preserve">The HPRA’s regulatory remit does not extend to </w:t>
      </w:r>
      <w:r w:rsidRPr="00F37CEE">
        <w:rPr>
          <w:rFonts w:ascii="Segoe UI" w:hAnsi="Segoe UI" w:cs="Segoe UI"/>
          <w:sz w:val="20"/>
          <w:szCs w:val="20"/>
        </w:rPr>
        <w:t>certain areas</w:t>
      </w:r>
      <w:r>
        <w:rPr>
          <w:rFonts w:ascii="Segoe UI" w:hAnsi="Segoe UI" w:cs="Segoe UI"/>
          <w:sz w:val="20"/>
          <w:szCs w:val="20"/>
        </w:rPr>
        <w:t xml:space="preserve">, for example </w:t>
      </w:r>
      <w:r w:rsidRPr="00F37CEE">
        <w:rPr>
          <w:rFonts w:ascii="Segoe UI" w:hAnsi="Segoe UI" w:cs="Segoe UI"/>
          <w:sz w:val="20"/>
          <w:szCs w:val="20"/>
        </w:rPr>
        <w:t xml:space="preserve">pricing, </w:t>
      </w:r>
      <w:r>
        <w:rPr>
          <w:rFonts w:ascii="Segoe UI" w:hAnsi="Segoe UI" w:cs="Segoe UI"/>
          <w:sz w:val="20"/>
          <w:szCs w:val="20"/>
        </w:rPr>
        <w:t xml:space="preserve">sourcing medicines, </w:t>
      </w:r>
      <w:r w:rsidRPr="00F37CEE">
        <w:rPr>
          <w:rFonts w:ascii="Segoe UI" w:hAnsi="Segoe UI" w:cs="Segoe UI"/>
          <w:sz w:val="20"/>
          <w:szCs w:val="20"/>
        </w:rPr>
        <w:t>clinical practice</w:t>
      </w:r>
      <w:r>
        <w:rPr>
          <w:rFonts w:ascii="Segoe UI" w:hAnsi="Segoe UI" w:cs="Segoe UI"/>
          <w:sz w:val="20"/>
          <w:szCs w:val="20"/>
        </w:rPr>
        <w:t>,</w:t>
      </w:r>
      <w:r w:rsidRPr="00F37CEE">
        <w:rPr>
          <w:rFonts w:ascii="Segoe UI" w:hAnsi="Segoe UI" w:cs="Segoe UI"/>
          <w:sz w:val="20"/>
          <w:szCs w:val="20"/>
        </w:rPr>
        <w:t xml:space="preserve"> nor can it </w:t>
      </w:r>
      <w:r>
        <w:rPr>
          <w:rFonts w:ascii="Segoe UI" w:hAnsi="Segoe UI" w:cs="Segoe UI"/>
          <w:sz w:val="20"/>
          <w:szCs w:val="20"/>
        </w:rPr>
        <w:t>require</w:t>
      </w:r>
      <w:r w:rsidRPr="00F37CEE">
        <w:rPr>
          <w:rFonts w:ascii="Segoe UI" w:hAnsi="Segoe UI" w:cs="Segoe UI"/>
          <w:sz w:val="20"/>
          <w:szCs w:val="20"/>
        </w:rPr>
        <w:t xml:space="preserve"> a company to produce a medicine or </w:t>
      </w:r>
      <w:r>
        <w:rPr>
          <w:rFonts w:ascii="Segoe UI" w:hAnsi="Segoe UI" w:cs="Segoe UI"/>
          <w:sz w:val="20"/>
          <w:szCs w:val="20"/>
        </w:rPr>
        <w:t>determine the supply route by which to</w:t>
      </w:r>
      <w:r w:rsidRPr="00F37CEE">
        <w:rPr>
          <w:rFonts w:ascii="Segoe UI" w:hAnsi="Segoe UI" w:cs="Segoe UI"/>
          <w:sz w:val="20"/>
          <w:szCs w:val="20"/>
        </w:rPr>
        <w:t xml:space="preserve"> distribute</w:t>
      </w:r>
      <w:r>
        <w:rPr>
          <w:rFonts w:ascii="Segoe UI" w:hAnsi="Segoe UI" w:cs="Segoe UI"/>
          <w:sz w:val="20"/>
          <w:szCs w:val="20"/>
        </w:rPr>
        <w:t xml:space="preserve"> it </w:t>
      </w:r>
      <w:r w:rsidRPr="00F37CEE">
        <w:rPr>
          <w:rFonts w:ascii="Segoe UI" w:hAnsi="Segoe UI" w:cs="Segoe UI"/>
          <w:sz w:val="20"/>
          <w:szCs w:val="20"/>
        </w:rPr>
        <w:t xml:space="preserve">as long as it satisfies good distribution practice requirements. </w:t>
      </w:r>
    </w:p>
    <w:p w:rsidR="00A057AB" w:rsidRPr="00F37CEE" w:rsidRDefault="00A057AB" w:rsidP="00A057AB">
      <w:pPr>
        <w:autoSpaceDE w:val="0"/>
        <w:autoSpaceDN w:val="0"/>
        <w:adjustRightInd w:val="0"/>
        <w:jc w:val="both"/>
        <w:rPr>
          <w:rFonts w:ascii="Segoe UI" w:hAnsi="Segoe UI" w:cs="Segoe UI"/>
          <w:sz w:val="20"/>
          <w:szCs w:val="20"/>
        </w:rPr>
      </w:pPr>
    </w:p>
    <w:p w:rsidR="00A057AB" w:rsidRDefault="00A057AB" w:rsidP="00A057AB">
      <w:pPr>
        <w:pStyle w:val="HPRAHeadingL2"/>
        <w:jc w:val="both"/>
      </w:pPr>
      <w:r>
        <w:t>Healthcare professionals</w:t>
      </w:r>
    </w:p>
    <w:p w:rsidR="00A057AB" w:rsidRDefault="00A057AB" w:rsidP="00A057AB">
      <w:pPr>
        <w:pStyle w:val="HPRAMainBodyText"/>
        <w:jc w:val="both"/>
      </w:pPr>
    </w:p>
    <w:p w:rsidR="00A057AB" w:rsidRDefault="00A057AB" w:rsidP="00A057AB">
      <w:pPr>
        <w:pStyle w:val="HPRAMainBodyText"/>
        <w:jc w:val="both"/>
      </w:pPr>
      <w:r>
        <w:rPr>
          <w:noProof/>
          <w:lang w:eastAsia="en-IE"/>
        </w:rPr>
        <w:drawing>
          <wp:anchor distT="0" distB="0" distL="114300" distR="114300" simplePos="0" relativeHeight="251672576" behindDoc="1" locked="0" layoutInCell="1" allowOverlap="1" wp14:anchorId="3B7A5FFE" wp14:editId="60C1688A">
            <wp:simplePos x="0" y="0"/>
            <wp:positionH relativeFrom="column">
              <wp:posOffset>3810</wp:posOffset>
            </wp:positionH>
            <wp:positionV relativeFrom="paragraph">
              <wp:posOffset>79746</wp:posOffset>
            </wp:positionV>
            <wp:extent cx="802640" cy="1214120"/>
            <wp:effectExtent l="0" t="0" r="0" b="5080"/>
            <wp:wrapTight wrapText="bothSides">
              <wp:wrapPolygon edited="0">
                <wp:start x="0" y="0"/>
                <wp:lineTo x="0" y="21351"/>
                <wp:lineTo x="21019" y="21351"/>
                <wp:lineTo x="210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2640" cy="1214120"/>
                    </a:xfrm>
                    <a:prstGeom prst="rect">
                      <a:avLst/>
                    </a:prstGeom>
                    <a:noFill/>
                  </pic:spPr>
                </pic:pic>
              </a:graphicData>
            </a:graphic>
          </wp:anchor>
        </w:drawing>
      </w:r>
      <w:r>
        <w:t xml:space="preserve">Healthcare professionals (e.g. prescribers, pharmacists and nurses) use their professional expertise to identify alternative medicines or therapies for their patients if a medicine is unavailable due to a shortage. Healthcare professionals can be involved in clinical guidance on appropriate treatment alternatives during a medicine shortage. Healthcare professionals also play an important role in promoting appropriate use and the </w:t>
      </w:r>
      <w:r w:rsidRPr="00CD3704">
        <w:t>ethical and fair distribution of medicines to meet the needs of patients</w:t>
      </w:r>
      <w:r>
        <w:t xml:space="preserve">. For example, in some cases, the action of stockpiling has been reported to precipitate a shortage.  </w:t>
      </w:r>
    </w:p>
    <w:p w:rsidR="00A057AB" w:rsidRDefault="00A057AB" w:rsidP="00A057AB">
      <w:pPr>
        <w:pStyle w:val="HPRAMainBodyText"/>
        <w:jc w:val="both"/>
      </w:pPr>
    </w:p>
    <w:p w:rsidR="00A057AB" w:rsidRDefault="00A057AB" w:rsidP="00A057AB">
      <w:pPr>
        <w:pStyle w:val="HPRAHeadingL2"/>
        <w:jc w:val="both"/>
      </w:pPr>
      <w:r>
        <w:t>Patient representative groups</w:t>
      </w:r>
    </w:p>
    <w:p w:rsidR="00A057AB" w:rsidRDefault="00A057AB" w:rsidP="00A057AB">
      <w:pPr>
        <w:pStyle w:val="HPRAMainBodyText"/>
        <w:jc w:val="both"/>
      </w:pPr>
      <w:r>
        <w:rPr>
          <w:noProof/>
          <w:lang w:eastAsia="en-IE"/>
        </w:rPr>
        <w:drawing>
          <wp:anchor distT="0" distB="0" distL="114300" distR="114300" simplePos="0" relativeHeight="251673600" behindDoc="1" locked="0" layoutInCell="1" allowOverlap="1" wp14:anchorId="76D46B18" wp14:editId="4E1D6650">
            <wp:simplePos x="0" y="0"/>
            <wp:positionH relativeFrom="column">
              <wp:posOffset>-24130</wp:posOffset>
            </wp:positionH>
            <wp:positionV relativeFrom="paragraph">
              <wp:posOffset>149237</wp:posOffset>
            </wp:positionV>
            <wp:extent cx="830580" cy="1250950"/>
            <wp:effectExtent l="0" t="0" r="7620" b="6350"/>
            <wp:wrapTight wrapText="bothSides">
              <wp:wrapPolygon edited="0">
                <wp:start x="0" y="0"/>
                <wp:lineTo x="0" y="21381"/>
                <wp:lineTo x="21303" y="21381"/>
                <wp:lineTo x="213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0580" cy="1250950"/>
                    </a:xfrm>
                    <a:prstGeom prst="rect">
                      <a:avLst/>
                    </a:prstGeom>
                    <a:noFill/>
                  </pic:spPr>
                </pic:pic>
              </a:graphicData>
            </a:graphic>
          </wp:anchor>
        </w:drawing>
      </w:r>
    </w:p>
    <w:p w:rsidR="00A057AB" w:rsidRDefault="00A057AB" w:rsidP="00A057AB">
      <w:pPr>
        <w:pStyle w:val="HPRAMainBodyText"/>
        <w:jc w:val="both"/>
      </w:pPr>
      <w:r>
        <w:t xml:space="preserve">Patients need timely access to medicines. In the case of some medicine shortages, patient representative groups, particularly disease-specific groups, may need to be involved in supporting patients with information on the shortage and alternative medicines. Patient representative groups can also provide information to other stakeholders on the impact of a shortage. Individual patients may also report medicine shortage, once aspects such as logistic issues have been ruled out. </w:t>
      </w:r>
    </w:p>
    <w:p w:rsidR="00A057AB" w:rsidRDefault="00A057AB" w:rsidP="00A057AB">
      <w:pPr>
        <w:pStyle w:val="HPRAHeadingL2"/>
        <w:jc w:val="both"/>
      </w:pPr>
      <w:r>
        <w:lastRenderedPageBreak/>
        <w:t>Department of Health</w:t>
      </w:r>
    </w:p>
    <w:p w:rsidR="00A057AB" w:rsidRDefault="00A057AB" w:rsidP="00A057AB">
      <w:pPr>
        <w:pStyle w:val="HPRAHeadingL2"/>
        <w:numPr>
          <w:ilvl w:val="0"/>
          <w:numId w:val="0"/>
        </w:numPr>
        <w:jc w:val="both"/>
      </w:pPr>
    </w:p>
    <w:p w:rsidR="00A057AB" w:rsidRDefault="00A057AB" w:rsidP="00A057AB">
      <w:pPr>
        <w:pStyle w:val="HPRAMainBodyText"/>
        <w:jc w:val="both"/>
      </w:pPr>
      <w:r>
        <w:rPr>
          <w:noProof/>
          <w:lang w:eastAsia="en-IE"/>
        </w:rPr>
        <w:drawing>
          <wp:anchor distT="0" distB="0" distL="114300" distR="114300" simplePos="0" relativeHeight="251674624" behindDoc="1" locked="0" layoutInCell="1" allowOverlap="1" wp14:anchorId="58EAE8CC" wp14:editId="46F1BCDD">
            <wp:simplePos x="0" y="0"/>
            <wp:positionH relativeFrom="column">
              <wp:posOffset>3810</wp:posOffset>
            </wp:positionH>
            <wp:positionV relativeFrom="paragraph">
              <wp:posOffset>215636</wp:posOffset>
            </wp:positionV>
            <wp:extent cx="834150" cy="1266053"/>
            <wp:effectExtent l="0" t="0" r="4445" b="0"/>
            <wp:wrapTight wrapText="bothSides">
              <wp:wrapPolygon edited="0">
                <wp:start x="0" y="0"/>
                <wp:lineTo x="0" y="21134"/>
                <wp:lineTo x="21222" y="21134"/>
                <wp:lineTo x="2122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4150" cy="1266053"/>
                    </a:xfrm>
                    <a:prstGeom prst="rect">
                      <a:avLst/>
                    </a:prstGeom>
                    <a:noFill/>
                  </pic:spPr>
                </pic:pic>
              </a:graphicData>
            </a:graphic>
          </wp:anchor>
        </w:drawing>
      </w:r>
      <w:r>
        <w:t xml:space="preserve">The Department of Health has an overarching policy and direction role to achieve a sustainable and accountable health system and to promote and protect the health of patients in the country. It provides leadership for the health sector to improve health outcomes. This includes the development and review of legislation, representing stakeholder interests in an international context and contributing to initiatives to mitigate the risk and disruption caused by medicine shortages. </w:t>
      </w:r>
    </w:p>
    <w:p w:rsidR="00A057AB" w:rsidRDefault="00A057AB" w:rsidP="00A057AB">
      <w:pPr>
        <w:pStyle w:val="HPRAMainBodyText"/>
        <w:jc w:val="both"/>
      </w:pPr>
    </w:p>
    <w:p w:rsidR="00A057AB" w:rsidRDefault="00A057AB" w:rsidP="00A057AB">
      <w:pPr>
        <w:pStyle w:val="HPRAMainBodyText"/>
        <w:jc w:val="both"/>
      </w:pPr>
      <w:r>
        <w:t xml:space="preserve">The Department of Health also has oversight of the HSE and HPRA, and supports agencies under its aegis to deliver their statutory functions. It negotiates agreements with marketing authorisation holders, along with the HSE, in relation to pricing and supply of medicines. </w:t>
      </w:r>
    </w:p>
    <w:p w:rsidR="00A057AB" w:rsidRDefault="00A057AB" w:rsidP="00A057AB">
      <w:pPr>
        <w:autoSpaceDE w:val="0"/>
        <w:autoSpaceDN w:val="0"/>
        <w:adjustRightInd w:val="0"/>
      </w:pPr>
    </w:p>
    <w:p w:rsidR="00A057AB" w:rsidRDefault="00A057AB" w:rsidP="00A057AB">
      <w:pPr>
        <w:autoSpaceDE w:val="0"/>
        <w:autoSpaceDN w:val="0"/>
        <w:adjustRightInd w:val="0"/>
      </w:pPr>
    </w:p>
    <w:p w:rsidR="00A057AB" w:rsidRPr="00BF20F3" w:rsidRDefault="00A057AB" w:rsidP="00A057AB">
      <w:pPr>
        <w:pStyle w:val="HPRAHeadingL1"/>
        <w:jc w:val="both"/>
      </w:pPr>
      <w:bookmarkStart w:id="6" w:name="_Toc504295682"/>
      <w:bookmarkStart w:id="7" w:name="_Toc521497272"/>
      <w:r>
        <w:t>Principles of the framework</w:t>
      </w:r>
      <w:bookmarkEnd w:id="6"/>
      <w:bookmarkEnd w:id="7"/>
    </w:p>
    <w:p w:rsidR="00A057AB" w:rsidRDefault="00A057AB" w:rsidP="00A057AB">
      <w:pPr>
        <w:pStyle w:val="HPRAMainBodyText"/>
        <w:jc w:val="both"/>
      </w:pPr>
    </w:p>
    <w:p w:rsidR="00A057AB" w:rsidRDefault="00A057AB" w:rsidP="00A057AB">
      <w:pPr>
        <w:pStyle w:val="HPRAMainBodyText"/>
        <w:jc w:val="both"/>
      </w:pPr>
      <w:r>
        <w:t>The framework for dealing with a medicine shortage is based on a commitment by all key stakeholders to the communication and management of medicine shortages according to the following principles:</w:t>
      </w:r>
    </w:p>
    <w:p w:rsidR="00A057AB" w:rsidRDefault="00A057AB" w:rsidP="00A057AB">
      <w:pPr>
        <w:pStyle w:val="HPRAMainBodyText"/>
        <w:jc w:val="both"/>
      </w:pPr>
    </w:p>
    <w:p w:rsidR="00A057AB" w:rsidRDefault="00A057AB" w:rsidP="00A057AB">
      <w:pPr>
        <w:pStyle w:val="HPRAMainBodyText"/>
        <w:numPr>
          <w:ilvl w:val="0"/>
          <w:numId w:val="22"/>
        </w:numPr>
        <w:ind w:left="284" w:hanging="284"/>
        <w:jc w:val="both"/>
      </w:pPr>
      <w:r w:rsidRPr="00BD74B1">
        <w:t xml:space="preserve">The health and safety of patients is the top priority in all </w:t>
      </w:r>
      <w:r>
        <w:t xml:space="preserve">medicine </w:t>
      </w:r>
      <w:r w:rsidRPr="00BD74B1">
        <w:t>shortage communication and responses</w:t>
      </w:r>
      <w:r>
        <w:t>.</w:t>
      </w:r>
    </w:p>
    <w:p w:rsidR="00A057AB" w:rsidRDefault="00A057AB" w:rsidP="00A057AB">
      <w:pPr>
        <w:pStyle w:val="HPRAMainBodyText"/>
        <w:numPr>
          <w:ilvl w:val="0"/>
          <w:numId w:val="22"/>
        </w:numPr>
        <w:ind w:left="284" w:hanging="284"/>
        <w:jc w:val="both"/>
      </w:pPr>
      <w:r>
        <w:t>Medicine s</w:t>
      </w:r>
      <w:r w:rsidRPr="00BD74B1">
        <w:t>hortages are a multi-stakeholder responsibility, requiring the co</w:t>
      </w:r>
      <w:r>
        <w:t>-</w:t>
      </w:r>
      <w:r w:rsidRPr="00BD74B1">
        <w:t>ordi</w:t>
      </w:r>
      <w:r>
        <w:t xml:space="preserve">nated involvement of all stakeholders across the </w:t>
      </w:r>
      <w:r w:rsidRPr="00BD74B1">
        <w:t>supply chain</w:t>
      </w:r>
      <w:r>
        <w:t>.</w:t>
      </w:r>
    </w:p>
    <w:p w:rsidR="00A057AB" w:rsidRDefault="00A057AB" w:rsidP="00A057AB">
      <w:pPr>
        <w:pStyle w:val="HPRAMainBodyText"/>
        <w:numPr>
          <w:ilvl w:val="0"/>
          <w:numId w:val="22"/>
        </w:numPr>
        <w:ind w:left="284" w:hanging="284"/>
        <w:jc w:val="both"/>
      </w:pPr>
      <w:r>
        <w:t>Early notification of a potential or actual medicine shortage is critical to helping to prevent or mitigate a shortage.</w:t>
      </w:r>
    </w:p>
    <w:p w:rsidR="00A057AB" w:rsidRDefault="00A057AB" w:rsidP="00A057AB">
      <w:pPr>
        <w:pStyle w:val="HPRAMainBodyText"/>
        <w:numPr>
          <w:ilvl w:val="0"/>
          <w:numId w:val="22"/>
        </w:numPr>
        <w:ind w:left="284" w:hanging="284"/>
        <w:jc w:val="both"/>
      </w:pPr>
      <w:r>
        <w:t xml:space="preserve">The assessment of and response to medicine shortages may involve the co-ordination of </w:t>
      </w:r>
      <w:r w:rsidRPr="003E4A8D">
        <w:t>advice and activit</w:t>
      </w:r>
      <w:r>
        <w:t>ies by a range of stakeholders and experts.</w:t>
      </w:r>
    </w:p>
    <w:p w:rsidR="00A057AB" w:rsidRDefault="00A057AB" w:rsidP="00A057AB">
      <w:pPr>
        <w:pStyle w:val="HPRAMainBodyText"/>
        <w:numPr>
          <w:ilvl w:val="0"/>
          <w:numId w:val="22"/>
        </w:numPr>
        <w:ind w:left="284" w:hanging="284"/>
        <w:jc w:val="both"/>
      </w:pPr>
      <w:r>
        <w:t xml:space="preserve">Impact assessments, notifications and updates are </w:t>
      </w:r>
      <w:r w:rsidRPr="00BD74B1">
        <w:t>reliable, timely, consistent and comprehensive</w:t>
      </w:r>
      <w:r>
        <w:t>.</w:t>
      </w:r>
    </w:p>
    <w:p w:rsidR="00A057AB" w:rsidRDefault="00A057AB" w:rsidP="00A057AB">
      <w:pPr>
        <w:pStyle w:val="HPRAMainBodyText"/>
        <w:numPr>
          <w:ilvl w:val="0"/>
          <w:numId w:val="22"/>
        </w:numPr>
        <w:ind w:left="284" w:hanging="284"/>
        <w:jc w:val="both"/>
      </w:pPr>
      <w:r>
        <w:t xml:space="preserve">A co-ordinated response and communication of appropriate information are essential in handling shortages. </w:t>
      </w:r>
    </w:p>
    <w:p w:rsidR="00A057AB" w:rsidRDefault="00A057AB" w:rsidP="00A057AB">
      <w:pPr>
        <w:pStyle w:val="HPRAMainBodyText"/>
        <w:numPr>
          <w:ilvl w:val="0"/>
          <w:numId w:val="22"/>
        </w:numPr>
        <w:ind w:left="284" w:hanging="284"/>
        <w:jc w:val="both"/>
      </w:pPr>
      <w:r>
        <w:t xml:space="preserve">The nature of a shortage is varied and therefore responses to medicine shortages will be on a case-by-case basis and may require flexibility. </w:t>
      </w:r>
    </w:p>
    <w:p w:rsidR="00A057AB" w:rsidRDefault="00A057AB" w:rsidP="00A057AB">
      <w:pPr>
        <w:pStyle w:val="HPRAMainBodyText"/>
        <w:numPr>
          <w:ilvl w:val="0"/>
          <w:numId w:val="22"/>
        </w:numPr>
        <w:ind w:left="284" w:hanging="284"/>
        <w:jc w:val="both"/>
      </w:pPr>
      <w:r>
        <w:t xml:space="preserve">Not all potential shortages will ultimately result in actual shortages. </w:t>
      </w:r>
    </w:p>
    <w:p w:rsidR="00A057AB" w:rsidRDefault="00A057AB" w:rsidP="00A057AB">
      <w:pPr>
        <w:pStyle w:val="HPRAMainBodyText"/>
        <w:jc w:val="both"/>
      </w:pPr>
    </w:p>
    <w:p w:rsidR="00A057AB" w:rsidRDefault="00A057AB" w:rsidP="00A057AB">
      <w:pPr>
        <w:pStyle w:val="HPRAMainBodyText"/>
        <w:jc w:val="both"/>
      </w:pPr>
    </w:p>
    <w:p w:rsidR="00A057AB" w:rsidRPr="00BF20F3" w:rsidRDefault="00A057AB" w:rsidP="00A057AB">
      <w:pPr>
        <w:pStyle w:val="HPRAHeadingL1"/>
        <w:jc w:val="both"/>
      </w:pPr>
      <w:bookmarkStart w:id="8" w:name="_Toc521497273"/>
      <w:r>
        <w:t>Medicine shortages framework</w:t>
      </w:r>
      <w:bookmarkEnd w:id="8"/>
    </w:p>
    <w:p w:rsidR="00A057AB" w:rsidRDefault="00A057AB" w:rsidP="00A057AB">
      <w:pPr>
        <w:pStyle w:val="HPRAMainBodyText"/>
        <w:jc w:val="both"/>
      </w:pPr>
    </w:p>
    <w:p w:rsidR="00A057AB" w:rsidRDefault="00A057AB" w:rsidP="00A057AB">
      <w:pPr>
        <w:pStyle w:val="HPRAMainBodyText"/>
        <w:jc w:val="both"/>
      </w:pPr>
      <w:r>
        <w:t>Once a</w:t>
      </w:r>
      <w:bookmarkStart w:id="9" w:name="_GoBack"/>
      <w:bookmarkEnd w:id="9"/>
      <w:r>
        <w:t xml:space="preserve"> potential shortage has been identified, it is important to establish the nature of the shortage, the potential impact on patients and to identify mitigation </w:t>
      </w:r>
      <w:r w:rsidRPr="00DA591F">
        <w:t>measures.</w:t>
      </w:r>
      <w:r>
        <w:t xml:space="preserve"> The sections below provide details for stakeholders on these steps.</w:t>
      </w:r>
      <w:r w:rsidRPr="00DA591F">
        <w:t xml:space="preserve"> </w:t>
      </w:r>
    </w:p>
    <w:p w:rsidR="00A057AB" w:rsidRPr="00DA591F" w:rsidRDefault="00A057AB" w:rsidP="00A057AB">
      <w:pPr>
        <w:pStyle w:val="HPRAMainBodyText"/>
        <w:jc w:val="both"/>
      </w:pPr>
    </w:p>
    <w:p w:rsidR="00A057AB" w:rsidRDefault="00A057AB" w:rsidP="00A057AB">
      <w:pPr>
        <w:pStyle w:val="HPRAHeadingL2"/>
        <w:jc w:val="both"/>
      </w:pPr>
      <w:r>
        <w:lastRenderedPageBreak/>
        <w:t>Notification or report of a medicine shortage</w:t>
      </w:r>
    </w:p>
    <w:p w:rsidR="00A057AB" w:rsidRDefault="00A057AB" w:rsidP="00A057AB">
      <w:pPr>
        <w:pStyle w:val="HPRAMainBodyText"/>
        <w:jc w:val="both"/>
      </w:pPr>
    </w:p>
    <w:p w:rsidR="00A057AB" w:rsidRDefault="00A057AB" w:rsidP="00A057AB">
      <w:pPr>
        <w:pStyle w:val="HPRAMainBodyText"/>
        <w:jc w:val="both"/>
      </w:pPr>
      <w:r>
        <w:t xml:space="preserve">All stakeholders may report a possible shortage. Before reporting a possible shortage to the HPRA, stakeholders should have exhausted other possible reasons for supply delays. The initial </w:t>
      </w:r>
      <w:r w:rsidRPr="0026679C">
        <w:t>communication of an actual or potential shortage to the HPRA is confidential. This is to allow</w:t>
      </w:r>
      <w:r>
        <w:t xml:space="preserve"> potentially</w:t>
      </w:r>
      <w:r w:rsidRPr="0026679C">
        <w:t xml:space="preserve"> sensitive information </w:t>
      </w:r>
      <w:r>
        <w:t xml:space="preserve">relating to the shortage, including possible solutions, </w:t>
      </w:r>
      <w:r w:rsidRPr="0026679C">
        <w:t xml:space="preserve">to be discussed between the </w:t>
      </w:r>
      <w:r>
        <w:t>stakeholder</w:t>
      </w:r>
      <w:r w:rsidRPr="0026679C">
        <w:t xml:space="preserve"> and the HPRA. </w:t>
      </w:r>
      <w:r>
        <w:t xml:space="preserve">However, it may be necessary for the HPRA to communicate with other stakeholders and the public as appropriate in particular cases. </w:t>
      </w:r>
    </w:p>
    <w:p w:rsidR="00A057AB" w:rsidRDefault="00A057AB" w:rsidP="00A057AB">
      <w:pPr>
        <w:pStyle w:val="HPRAMainBodyText"/>
        <w:jc w:val="both"/>
        <w:rPr>
          <w:b/>
          <w:i/>
        </w:rPr>
      </w:pPr>
    </w:p>
    <w:p w:rsidR="00A057AB" w:rsidRPr="008F4EC6" w:rsidRDefault="00A057AB" w:rsidP="00A057AB">
      <w:pPr>
        <w:pStyle w:val="HPRAMainBodyText"/>
        <w:jc w:val="both"/>
        <w:rPr>
          <w:b/>
          <w:i/>
        </w:rPr>
      </w:pPr>
      <w:r>
        <w:rPr>
          <w:b/>
          <w:i/>
        </w:rPr>
        <w:t>How and when to</w:t>
      </w:r>
      <w:r w:rsidRPr="008F4EC6">
        <w:rPr>
          <w:b/>
          <w:i/>
        </w:rPr>
        <w:t xml:space="preserve"> notify or report a shortage</w:t>
      </w:r>
    </w:p>
    <w:p w:rsidR="00A057AB" w:rsidRDefault="00A057AB" w:rsidP="00A057AB">
      <w:pPr>
        <w:pStyle w:val="HPRAMainBodyText"/>
        <w:jc w:val="both"/>
      </w:pPr>
      <w:r>
        <w:t xml:space="preserve">For the purposes of clarity, a </w:t>
      </w:r>
      <w:r w:rsidRPr="00D36EEB">
        <w:rPr>
          <w:u w:val="single"/>
        </w:rPr>
        <w:t>notification</w:t>
      </w:r>
      <w:r>
        <w:t xml:space="preserve"> of a shortage comes from the MAH whereas a </w:t>
      </w:r>
      <w:r w:rsidRPr="00D36EEB">
        <w:rPr>
          <w:u w:val="single"/>
        </w:rPr>
        <w:t>report</w:t>
      </w:r>
      <w:r>
        <w:t xml:space="preserve"> of a possible shortage comes from all other stakeholders. Where the notification comes from an MAH or their representative, the notification form should be used. The notification form is common to the HSE and the HPRA and can be submitted to the two agencies simultaneously. The notification form also provides for a proposal from the MAH to handle a shortage, which may range from minimal activity in the case of low impact shortages, to a detailed management plan for high impact shortages. A reporting form for other stakeholders has been developed and is available from </w:t>
      </w:r>
      <w:hyperlink r:id="rId25" w:history="1">
        <w:r w:rsidR="00D464D8" w:rsidRPr="00D464D8">
          <w:rPr>
            <w:rStyle w:val="Hyperlink"/>
          </w:rPr>
          <w:t>www.hpra.ie</w:t>
        </w:r>
      </w:hyperlink>
      <w:r>
        <w:t xml:space="preserve">.  </w:t>
      </w:r>
    </w:p>
    <w:p w:rsidR="00A057AB" w:rsidRDefault="00A057AB" w:rsidP="00A057AB">
      <w:pPr>
        <w:pStyle w:val="HPRAMainBodyText"/>
        <w:jc w:val="both"/>
      </w:pPr>
    </w:p>
    <w:p w:rsidR="00A057AB" w:rsidRDefault="00A057AB" w:rsidP="00A057AB">
      <w:pPr>
        <w:pStyle w:val="HPRAMainBodyText"/>
        <w:jc w:val="both"/>
      </w:pPr>
      <w:r>
        <w:t xml:space="preserve">Please see table 1 for a summary of when to notify and the information required. All information relating to potential and actual shortages, regardless of which stakeholder contacts the HPRA, should be sent to </w:t>
      </w:r>
      <w:hyperlink r:id="rId26" w:history="1">
        <w:r w:rsidRPr="009C2323">
          <w:rPr>
            <w:rStyle w:val="Hyperlink"/>
          </w:rPr>
          <w:t>shortages@hpra.ie</w:t>
        </w:r>
      </w:hyperlink>
      <w:r>
        <w:t xml:space="preserve">. </w:t>
      </w:r>
    </w:p>
    <w:p w:rsidR="00A057AB" w:rsidRDefault="00A057AB" w:rsidP="00A057AB">
      <w:pPr>
        <w:pStyle w:val="HPRAMainBodyText"/>
        <w:jc w:val="both"/>
      </w:pPr>
    </w:p>
    <w:p w:rsidR="00A057AB" w:rsidRDefault="00A057AB" w:rsidP="00A057AB">
      <w:pPr>
        <w:pStyle w:val="HPRAMainBodyText"/>
        <w:ind w:left="567" w:right="1190"/>
        <w:rPr>
          <w:b/>
        </w:rPr>
      </w:pPr>
      <w:r>
        <w:rPr>
          <w:b/>
          <w:noProof/>
          <w:lang w:eastAsia="en-IE"/>
        </w:rPr>
        <w:drawing>
          <wp:inline distT="0" distB="0" distL="0" distR="0" wp14:anchorId="42E7538F" wp14:editId="3F7D76A8">
            <wp:extent cx="4658264" cy="192197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7525" cy="1938175"/>
                    </a:xfrm>
                    <a:prstGeom prst="rect">
                      <a:avLst/>
                    </a:prstGeom>
                    <a:noFill/>
                  </pic:spPr>
                </pic:pic>
              </a:graphicData>
            </a:graphic>
          </wp:inline>
        </w:drawing>
      </w:r>
    </w:p>
    <w:p w:rsidR="00A057AB" w:rsidRDefault="00A057AB" w:rsidP="00A057AB">
      <w:pPr>
        <w:pStyle w:val="HPRAMainBodyText"/>
        <w:ind w:right="56"/>
        <w:jc w:val="center"/>
      </w:pPr>
      <w:r>
        <w:rPr>
          <w:b/>
        </w:rPr>
        <w:t>Table 1</w:t>
      </w:r>
      <w:r w:rsidRPr="0074426F">
        <w:rPr>
          <w:b/>
        </w:rPr>
        <w:t>:</w:t>
      </w:r>
      <w:r>
        <w:t xml:space="preserve"> How and when to notify/report a shortage</w:t>
      </w:r>
    </w:p>
    <w:p w:rsidR="00A057AB" w:rsidRDefault="00A057AB" w:rsidP="00A057AB">
      <w:pPr>
        <w:pStyle w:val="HPRAMainBodyText"/>
        <w:ind w:right="56"/>
        <w:jc w:val="center"/>
      </w:pPr>
    </w:p>
    <w:p w:rsidR="00A057AB" w:rsidRDefault="00A057AB" w:rsidP="00A057AB">
      <w:pPr>
        <w:pStyle w:val="HPRAHeadingL2"/>
        <w:jc w:val="both"/>
      </w:pPr>
      <w:r>
        <w:t>Impact assessment</w:t>
      </w:r>
    </w:p>
    <w:p w:rsidR="00A057AB" w:rsidRDefault="00A057AB" w:rsidP="00A057AB">
      <w:pPr>
        <w:pStyle w:val="HPRAMainBodyText"/>
        <w:jc w:val="both"/>
      </w:pPr>
    </w:p>
    <w:p w:rsidR="00A057AB" w:rsidRDefault="00A057AB" w:rsidP="00A057AB">
      <w:pPr>
        <w:pStyle w:val="HPRAMainBodyText"/>
        <w:jc w:val="both"/>
      </w:pPr>
      <w:r>
        <w:t xml:space="preserve">The method described below is used by the HPRA and can also be used by stakeholders to assist them in determining the impact of the actual or potential </w:t>
      </w:r>
      <w:r w:rsidRPr="004C3C4E">
        <w:t>shortage.</w:t>
      </w:r>
      <w:r>
        <w:t xml:space="preserve"> The impact assessment combines two main considerations: </w:t>
      </w:r>
    </w:p>
    <w:p w:rsidR="00A057AB" w:rsidRDefault="00A057AB" w:rsidP="00A057AB">
      <w:pPr>
        <w:pStyle w:val="HPRAMainBodyText"/>
        <w:numPr>
          <w:ilvl w:val="0"/>
          <w:numId w:val="21"/>
        </w:numPr>
        <w:ind w:left="284" w:hanging="284"/>
        <w:jc w:val="both"/>
      </w:pPr>
      <w:r>
        <w:t xml:space="preserve">the availability of therapeutic alternatives and </w:t>
      </w:r>
    </w:p>
    <w:p w:rsidR="00A057AB" w:rsidRDefault="00A057AB" w:rsidP="00A057AB">
      <w:pPr>
        <w:pStyle w:val="HPRAMainBodyText"/>
        <w:numPr>
          <w:ilvl w:val="0"/>
          <w:numId w:val="21"/>
        </w:numPr>
        <w:ind w:left="284" w:hanging="284"/>
        <w:jc w:val="both"/>
      </w:pPr>
      <w:r>
        <w:t xml:space="preserve">the expected impact on patients. </w:t>
      </w:r>
    </w:p>
    <w:p w:rsidR="00A057AB" w:rsidRDefault="00A057AB" w:rsidP="00A057AB">
      <w:pPr>
        <w:pStyle w:val="HPRAMainBodyText"/>
        <w:jc w:val="both"/>
      </w:pPr>
    </w:p>
    <w:p w:rsidR="00A057AB" w:rsidRDefault="00A057AB" w:rsidP="00A057AB">
      <w:pPr>
        <w:pStyle w:val="HPRAMainBodyText"/>
        <w:jc w:val="both"/>
      </w:pPr>
      <w:r>
        <w:rPr>
          <w:b/>
          <w:i/>
        </w:rPr>
        <w:lastRenderedPageBreak/>
        <w:t xml:space="preserve">Therapeutic alternatives </w:t>
      </w:r>
    </w:p>
    <w:p w:rsidR="00A057AB" w:rsidRDefault="00A057AB" w:rsidP="00A057AB">
      <w:pPr>
        <w:pStyle w:val="HPRAMainBodyText"/>
        <w:jc w:val="both"/>
      </w:pPr>
      <w:r>
        <w:t xml:space="preserve">The categories of therapeutic alternatives and associated descriptions are provided in </w:t>
      </w:r>
      <w:r w:rsidRPr="007D6EC2">
        <w:rPr>
          <w:b/>
        </w:rPr>
        <w:t>table 2</w:t>
      </w:r>
      <w:r>
        <w:t xml:space="preserve">. These are illustrative and provide guidance when categorising the nature of the therapeutic alternative. </w:t>
      </w:r>
    </w:p>
    <w:p w:rsidR="00A057AB" w:rsidRDefault="00A057AB" w:rsidP="00A057AB">
      <w:pPr>
        <w:pStyle w:val="HPRAMainBodyText"/>
        <w:jc w:val="both"/>
      </w:pPr>
    </w:p>
    <w:p w:rsidR="00A057AB" w:rsidRDefault="00A057AB" w:rsidP="00A057AB">
      <w:pPr>
        <w:pStyle w:val="HPRAMainBodyText"/>
        <w:jc w:val="center"/>
      </w:pPr>
      <w:r>
        <w:rPr>
          <w:noProof/>
          <w:lang w:eastAsia="en-IE"/>
        </w:rPr>
        <w:drawing>
          <wp:inline distT="0" distB="0" distL="0" distR="0" wp14:anchorId="4B3DDF7A" wp14:editId="1FB319FF">
            <wp:extent cx="5503138" cy="290866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14940" cy="2914898"/>
                    </a:xfrm>
                    <a:prstGeom prst="rect">
                      <a:avLst/>
                    </a:prstGeom>
                    <a:noFill/>
                  </pic:spPr>
                </pic:pic>
              </a:graphicData>
            </a:graphic>
          </wp:inline>
        </w:drawing>
      </w:r>
    </w:p>
    <w:p w:rsidR="00A057AB" w:rsidRDefault="00A057AB" w:rsidP="00A057AB">
      <w:pPr>
        <w:pStyle w:val="HPRAMainBodyText"/>
        <w:jc w:val="center"/>
      </w:pPr>
      <w:r>
        <w:rPr>
          <w:b/>
        </w:rPr>
        <w:t>Table 2</w:t>
      </w:r>
      <w:r w:rsidRPr="00925F5C">
        <w:rPr>
          <w:b/>
        </w:rPr>
        <w:t>:</w:t>
      </w:r>
      <w:r>
        <w:t xml:space="preserve"> Description of therapeutic alternative categories</w:t>
      </w:r>
      <w:r>
        <w:rPr>
          <w:rStyle w:val="FootnoteReference"/>
        </w:rPr>
        <w:footnoteReference w:id="1"/>
      </w:r>
    </w:p>
    <w:p w:rsidR="00A057AB" w:rsidRDefault="00A057AB" w:rsidP="00A057AB">
      <w:pPr>
        <w:pStyle w:val="HPRAMainBodyText"/>
        <w:jc w:val="both"/>
      </w:pPr>
    </w:p>
    <w:p w:rsidR="00A057AB" w:rsidRPr="00FB77D5" w:rsidRDefault="00A057AB" w:rsidP="00A057AB">
      <w:pPr>
        <w:pStyle w:val="HPRAMainBodyText"/>
        <w:jc w:val="both"/>
        <w:rPr>
          <w:i/>
        </w:rPr>
      </w:pPr>
      <w:r>
        <w:rPr>
          <w:b/>
          <w:i/>
        </w:rPr>
        <w:t>Impact on patients</w:t>
      </w:r>
    </w:p>
    <w:p w:rsidR="00A057AB" w:rsidRDefault="00A057AB" w:rsidP="00A057AB">
      <w:pPr>
        <w:pStyle w:val="HPRAMainBodyText"/>
        <w:jc w:val="both"/>
      </w:pPr>
      <w:r>
        <w:t xml:space="preserve">The categories and associated examples in relation to the impact of a shortage on patients are described in </w:t>
      </w:r>
      <w:r w:rsidRPr="007D6EC2">
        <w:rPr>
          <w:b/>
        </w:rPr>
        <w:t>table 3</w:t>
      </w:r>
      <w:r w:rsidRPr="0074426F">
        <w:t>.</w:t>
      </w:r>
      <w:r>
        <w:t xml:space="preserve"> As with the categorisation of therapeutic alternative</w:t>
      </w:r>
      <w:r w:rsidR="00820BEB">
        <w:t>s</w:t>
      </w:r>
      <w:r>
        <w:t xml:space="preserve">, these are illustrative. </w:t>
      </w:r>
    </w:p>
    <w:p w:rsidR="00A057AB" w:rsidRDefault="00A057AB" w:rsidP="00A057AB">
      <w:pPr>
        <w:pStyle w:val="HPRAMainBodyText"/>
        <w:jc w:val="center"/>
      </w:pPr>
    </w:p>
    <w:p w:rsidR="00A057AB" w:rsidRDefault="00A057AB" w:rsidP="00A057AB">
      <w:pPr>
        <w:pStyle w:val="HPRAMainBodyText"/>
        <w:jc w:val="center"/>
      </w:pPr>
      <w:r>
        <w:rPr>
          <w:noProof/>
          <w:lang w:eastAsia="en-IE"/>
        </w:rPr>
        <w:drawing>
          <wp:inline distT="0" distB="0" distL="0" distR="0" wp14:anchorId="34F91AD6" wp14:editId="53875D5B">
            <wp:extent cx="4034374" cy="1892944"/>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1849" cy="1901143"/>
                    </a:xfrm>
                    <a:prstGeom prst="rect">
                      <a:avLst/>
                    </a:prstGeom>
                    <a:noFill/>
                  </pic:spPr>
                </pic:pic>
              </a:graphicData>
            </a:graphic>
          </wp:inline>
        </w:drawing>
      </w:r>
    </w:p>
    <w:p w:rsidR="00A057AB" w:rsidRPr="00466E30" w:rsidRDefault="00A057AB" w:rsidP="00A057AB">
      <w:pPr>
        <w:pStyle w:val="HPRAMainBodyText"/>
        <w:jc w:val="center"/>
        <w:rPr>
          <w:vertAlign w:val="superscript"/>
        </w:rPr>
      </w:pPr>
      <w:r>
        <w:rPr>
          <w:b/>
        </w:rPr>
        <w:t>Table 3</w:t>
      </w:r>
      <w:r w:rsidRPr="00925F5C">
        <w:rPr>
          <w:b/>
        </w:rPr>
        <w:t>:</w:t>
      </w:r>
      <w:r>
        <w:t xml:space="preserve"> Description of the impact categories</w:t>
      </w:r>
      <w:r>
        <w:rPr>
          <w:vertAlign w:val="superscript"/>
        </w:rPr>
        <w:t>1</w:t>
      </w:r>
    </w:p>
    <w:p w:rsidR="00A057AB" w:rsidRDefault="00A057AB" w:rsidP="00A057AB">
      <w:pPr>
        <w:pStyle w:val="HPRAMainBodyText"/>
        <w:jc w:val="both"/>
        <w:rPr>
          <w:b/>
          <w:i/>
        </w:rPr>
      </w:pPr>
    </w:p>
    <w:p w:rsidR="00A057AB" w:rsidRDefault="00A057AB" w:rsidP="00A057AB">
      <w:pPr>
        <w:pStyle w:val="HPRAMainBodyText"/>
        <w:jc w:val="both"/>
        <w:rPr>
          <w:i/>
        </w:rPr>
      </w:pPr>
      <w:r>
        <w:rPr>
          <w:b/>
          <w:i/>
        </w:rPr>
        <w:lastRenderedPageBreak/>
        <w:t>Determination of impact level</w:t>
      </w:r>
    </w:p>
    <w:p w:rsidR="00A057AB" w:rsidRDefault="00A057AB" w:rsidP="00A057AB">
      <w:pPr>
        <w:pStyle w:val="HPRAMainBodyText"/>
        <w:jc w:val="both"/>
      </w:pPr>
      <w:r>
        <w:t xml:space="preserve">Once the availability of therapeutic alternatives and expected impact on patients are determined, the impact level of the shortage is identified using the matrix described in </w:t>
      </w:r>
      <w:r w:rsidRPr="007D6EC2">
        <w:rPr>
          <w:b/>
        </w:rPr>
        <w:t>table 4</w:t>
      </w:r>
      <w:r>
        <w:t xml:space="preserve">. </w:t>
      </w:r>
    </w:p>
    <w:p w:rsidR="00A057AB" w:rsidRDefault="00A057AB" w:rsidP="00A057AB">
      <w:pPr>
        <w:pStyle w:val="HPRAMainBodyText"/>
        <w:jc w:val="both"/>
      </w:pPr>
    </w:p>
    <w:p w:rsidR="00A057AB" w:rsidRDefault="00A057AB" w:rsidP="00A057AB">
      <w:pPr>
        <w:pStyle w:val="HPRAMainBodyText"/>
        <w:jc w:val="center"/>
      </w:pPr>
      <w:r>
        <w:rPr>
          <w:noProof/>
          <w:lang w:eastAsia="en-IE"/>
        </w:rPr>
        <w:drawing>
          <wp:inline distT="0" distB="0" distL="0" distR="0" wp14:anchorId="0B154F31" wp14:editId="4B8BCA31">
            <wp:extent cx="4869148" cy="110363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4928047" cy="1116980"/>
                    </a:xfrm>
                    <a:prstGeom prst="rect">
                      <a:avLst/>
                    </a:prstGeom>
                    <a:noFill/>
                    <a:ln>
                      <a:noFill/>
                    </a:ln>
                    <a:extLst>
                      <a:ext uri="{53640926-AAD7-44D8-BBD7-CCE9431645EC}">
                        <a14:shadowObscured xmlns:a14="http://schemas.microsoft.com/office/drawing/2010/main"/>
                      </a:ext>
                    </a:extLst>
                  </pic:spPr>
                </pic:pic>
              </a:graphicData>
            </a:graphic>
          </wp:inline>
        </w:drawing>
      </w:r>
    </w:p>
    <w:p w:rsidR="00A057AB" w:rsidRDefault="00A057AB" w:rsidP="00A057AB">
      <w:pPr>
        <w:pStyle w:val="HPRAMainBodyText"/>
        <w:jc w:val="center"/>
      </w:pPr>
      <w:r>
        <w:rPr>
          <w:b/>
        </w:rPr>
        <w:t>Table 4</w:t>
      </w:r>
      <w:r w:rsidRPr="00925F5C">
        <w:rPr>
          <w:b/>
        </w:rPr>
        <w:t>:</w:t>
      </w:r>
      <w:r>
        <w:t xml:space="preserve"> Impact levels</w:t>
      </w:r>
    </w:p>
    <w:p w:rsidR="00A057AB" w:rsidRDefault="00A057AB" w:rsidP="00A057AB">
      <w:pPr>
        <w:pStyle w:val="HPRAMainBodyText"/>
        <w:jc w:val="both"/>
      </w:pPr>
    </w:p>
    <w:p w:rsidR="00A057AB" w:rsidRDefault="00A057AB" w:rsidP="00A057AB">
      <w:pPr>
        <w:pStyle w:val="HPRAMainBodyText"/>
        <w:jc w:val="both"/>
      </w:pPr>
      <w:r>
        <w:t>The impact assessment classifies medicine shortages into three types: low, medium and high impact shortage.</w:t>
      </w:r>
    </w:p>
    <w:p w:rsidR="00A057AB" w:rsidRDefault="00A057AB" w:rsidP="00A057AB">
      <w:pPr>
        <w:pStyle w:val="HPRAMainBodyText"/>
        <w:jc w:val="both"/>
      </w:pPr>
    </w:p>
    <w:p w:rsidR="00A057AB" w:rsidRPr="00ED6BCF" w:rsidRDefault="00A057AB" w:rsidP="00A057AB">
      <w:pPr>
        <w:pStyle w:val="HPRAMainBodyText"/>
        <w:jc w:val="both"/>
      </w:pPr>
      <w:r>
        <w:rPr>
          <w:b/>
          <w:i/>
          <w:noProof/>
          <w:lang w:eastAsia="en-IE"/>
        </w:rPr>
        <mc:AlternateContent>
          <mc:Choice Requires="wps">
            <w:drawing>
              <wp:anchor distT="0" distB="0" distL="114300" distR="114300" simplePos="0" relativeHeight="251664384" behindDoc="1" locked="0" layoutInCell="1" allowOverlap="1" wp14:anchorId="4CD886E7" wp14:editId="29BC223D">
                <wp:simplePos x="0" y="0"/>
                <wp:positionH relativeFrom="column">
                  <wp:posOffset>-73025</wp:posOffset>
                </wp:positionH>
                <wp:positionV relativeFrom="paragraph">
                  <wp:posOffset>69215</wp:posOffset>
                </wp:positionV>
                <wp:extent cx="5391150" cy="1380178"/>
                <wp:effectExtent l="0" t="0" r="19050" b="10795"/>
                <wp:wrapNone/>
                <wp:docPr id="5" name="Rounded Rectangle 5"/>
                <wp:cNvGraphicFramePr/>
                <a:graphic xmlns:a="http://schemas.openxmlformats.org/drawingml/2006/main">
                  <a:graphicData uri="http://schemas.microsoft.com/office/word/2010/wordprocessingShape">
                    <wps:wsp>
                      <wps:cNvSpPr/>
                      <wps:spPr>
                        <a:xfrm>
                          <a:off x="0" y="0"/>
                          <a:ext cx="5391150" cy="1380178"/>
                        </a:xfrm>
                        <a:prstGeom prst="round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3C9E7B" id="Rounded Rectangle 5" o:spid="_x0000_s1026" style="position:absolute;margin-left:-5.75pt;margin-top:5.45pt;width:424.5pt;height:108.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EnnQIAAJIFAAAOAAAAZHJzL2Uyb0RvYy54bWysVFFP2zAQfp+0/2D5fSQpdEBEiioQ0yQE&#10;CJh4dh27ieT4PNtt2v36ne0krRjaw7Q8OLbv7ru7z3d3db3rFNkK61rQFS1OckqE5lC3el3RH693&#10;Xy4ocZ7pminQoqJ74ej14vOnq96UYgYNqFpYgiDalb2paOO9KbPM8UZ0zJ2AERqFEmzHPB7tOqst&#10;6xG9U9ksz79mPdjaWODCOby9TUK6iPhSCu4fpXTCE1VRjM3H1cZ1FdZsccXKtWWmafkQBvuHKDrW&#10;anQ6Qd0yz8jGtn9AdS234ED6Ew5dBlK2XMQcMJsif5fNS8OMiLkgOc5MNLn/B8sftk+WtHVF55Ro&#10;1uETPcNG16Imz0ge02slyDzQ1BtXovaLebLDyeE25LyTtgt/zIbsIrX7iVqx84Tj5fz0sijm+AIc&#10;ZcXpRV6cXwTU7GBurPPfBHQkbCpqQxghhsgr2947n/RHveBSw12rFN6zUumwOlBtHe7iIVSRuFGW&#10;bBm+/2o9G1weaWEAwTIL6aWE4s7vlUioz0IiP5jCLAYSK/OAyTgX2hdJ1LBaJFfzHL/R2RhFzFZp&#10;BAzIEoOcsAeAUTOBjNgp7UE/mIpY2JNx/rfAkvFkET2D9pNx12qwHwEozGrwnPRHkhI1gaUV1Hus&#10;HguprZzhdy2+3T1z/olZ7CN8b5wN/hEXqaCvKAw7Shqwvz66D/pY3iilpMe+rKj7uWFWUKK+ayz8&#10;y+LsLDRyPJzNz2d4sMeS1bFEb7obwKcvcAoZHrdB36txKy10bzhClsEripjm6Lui3NvxcOPTvMAh&#10;xMVyGdWweQ3z9/rF8AAeWA1l+bp7Y9YMBeyx9h9g7GFWvivhpBssNSw3HmQb6/vA68A3Nn4snGFI&#10;hclyfI5ah1G6+A0AAP//AwBQSwMEFAAGAAgAAAAhAK1TSX/gAAAACgEAAA8AAABkcnMvZG93bnJl&#10;di54bWxMj8FOwzAMhu9IvENkJG5b0lZAV5pOCAQSHJA2kMYxa0xbaJyqydbu7TEnONr/p9+fy/Xs&#10;enHEMXSeNCRLBQKp9rajRsP72+MiBxGiIWt6T6jhhAHW1flZaQrrJ9rgcRsbwSUUCqOhjXEopAx1&#10;i86EpR+QOPv0ozORx7GRdjQTl7tepkpdS2c64gutGfC+xfp7e3AaXlbZ14meVepep039QZnb7R6e&#10;tL68mO9uQUSc4x8Mv/qsDhU77f2BbBC9hkWSXDHKgVqBYCDPbnix15CmeQayKuX/F6ofAAAA//8D&#10;AFBLAQItABQABgAIAAAAIQC2gziS/gAAAOEBAAATAAAAAAAAAAAAAAAAAAAAAABbQ29udGVudF9U&#10;eXBlc10ueG1sUEsBAi0AFAAGAAgAAAAhADj9If/WAAAAlAEAAAsAAAAAAAAAAAAAAAAALwEAAF9y&#10;ZWxzLy5yZWxzUEsBAi0AFAAGAAgAAAAhAIR+ISedAgAAkgUAAA4AAAAAAAAAAAAAAAAALgIAAGRy&#10;cy9lMm9Eb2MueG1sUEsBAi0AFAAGAAgAAAAhAK1TSX/gAAAACgEAAA8AAAAAAAAAAAAAAAAA9wQA&#10;AGRycy9kb3ducmV2LnhtbFBLBQYAAAAABAAEAPMAAAAEBgAAAAA=&#10;" filled="f" strokecolor="#51bfe2 [3214]" strokeweight="2pt"/>
            </w:pict>
          </mc:Fallback>
        </mc:AlternateContent>
      </w:r>
    </w:p>
    <w:p w:rsidR="00A057AB" w:rsidRPr="00D6050F" w:rsidRDefault="00A057AB" w:rsidP="00A057AB">
      <w:pPr>
        <w:pStyle w:val="HPRAMainBodyText"/>
        <w:jc w:val="both"/>
        <w:rPr>
          <w:b/>
          <w:color w:val="51BFE2" w:themeColor="background2"/>
        </w:rPr>
      </w:pPr>
      <w:r w:rsidRPr="00D6050F">
        <w:rPr>
          <w:b/>
          <w:i/>
          <w:color w:val="51BFE2" w:themeColor="background2"/>
        </w:rPr>
        <w:t>Low impact shortages</w:t>
      </w:r>
    </w:p>
    <w:p w:rsidR="00A057AB" w:rsidRDefault="00A057AB" w:rsidP="00A057AB">
      <w:pPr>
        <w:pStyle w:val="HPRAMainBodyText"/>
        <w:jc w:val="both"/>
      </w:pPr>
      <w:r>
        <w:t xml:space="preserve">The potential response to a low impact shortage is based on the assumption that healthcare professionals will be able to manage the situation through professional expertise and access to information on the availability of the product. </w:t>
      </w:r>
    </w:p>
    <w:p w:rsidR="00A057AB" w:rsidRDefault="00A057AB" w:rsidP="00A057AB">
      <w:pPr>
        <w:pStyle w:val="HPRAMainBodyText"/>
        <w:jc w:val="both"/>
      </w:pPr>
    </w:p>
    <w:p w:rsidR="00A057AB" w:rsidRDefault="00A057AB" w:rsidP="00A057AB">
      <w:pPr>
        <w:pStyle w:val="HPRAMainBodyText"/>
        <w:jc w:val="both"/>
        <w:rPr>
          <w:i/>
        </w:rPr>
      </w:pPr>
      <w:r w:rsidRPr="009454C3">
        <w:rPr>
          <w:i/>
          <w:color w:val="51BFE2" w:themeColor="background2"/>
        </w:rPr>
        <w:t>Example</w:t>
      </w:r>
      <w:r w:rsidRPr="009454C3">
        <w:rPr>
          <w:b/>
          <w:i/>
          <w:color w:val="51BFE2" w:themeColor="background2"/>
        </w:rPr>
        <w:t>:</w:t>
      </w:r>
      <w:r w:rsidRPr="00D6050F">
        <w:rPr>
          <w:i/>
        </w:rPr>
        <w:t xml:space="preserve"> a shortage of atorvastatin 20mg film-coated tablet where another generic product is </w:t>
      </w:r>
      <w:r>
        <w:rPr>
          <w:i/>
        </w:rPr>
        <w:t xml:space="preserve">readily available and can be substituted </w:t>
      </w:r>
      <w:r w:rsidRPr="00D6050F">
        <w:rPr>
          <w:i/>
        </w:rPr>
        <w:t xml:space="preserve">with little effect on the doctor, pharmacist and patient. </w:t>
      </w:r>
    </w:p>
    <w:p w:rsidR="00A057AB" w:rsidRDefault="00A057AB" w:rsidP="00A057AB">
      <w:pPr>
        <w:pStyle w:val="HPRAMainBodyText"/>
        <w:jc w:val="both"/>
        <w:rPr>
          <w:i/>
        </w:rPr>
      </w:pPr>
    </w:p>
    <w:p w:rsidR="00A057AB" w:rsidRDefault="00A057AB" w:rsidP="00A057AB">
      <w:pPr>
        <w:pStyle w:val="HPRAMainBodyText"/>
        <w:jc w:val="both"/>
        <w:rPr>
          <w:b/>
          <w:i/>
        </w:rPr>
      </w:pPr>
      <w:r>
        <w:rPr>
          <w:b/>
          <w:i/>
          <w:noProof/>
          <w:lang w:eastAsia="en-IE"/>
        </w:rPr>
        <mc:AlternateContent>
          <mc:Choice Requires="wps">
            <w:drawing>
              <wp:anchor distT="0" distB="0" distL="114300" distR="114300" simplePos="0" relativeHeight="251665408" behindDoc="1" locked="0" layoutInCell="1" allowOverlap="1" wp14:anchorId="317A3B3A" wp14:editId="393EFB55">
                <wp:simplePos x="0" y="0"/>
                <wp:positionH relativeFrom="margin">
                  <wp:posOffset>-73025</wp:posOffset>
                </wp:positionH>
                <wp:positionV relativeFrom="paragraph">
                  <wp:posOffset>69586</wp:posOffset>
                </wp:positionV>
                <wp:extent cx="5391150" cy="1388853"/>
                <wp:effectExtent l="0" t="0" r="19050" b="20955"/>
                <wp:wrapNone/>
                <wp:docPr id="13" name="Rounded Rectangle 13"/>
                <wp:cNvGraphicFramePr/>
                <a:graphic xmlns:a="http://schemas.openxmlformats.org/drawingml/2006/main">
                  <a:graphicData uri="http://schemas.microsoft.com/office/word/2010/wordprocessingShape">
                    <wps:wsp>
                      <wps:cNvSpPr/>
                      <wps:spPr>
                        <a:xfrm>
                          <a:off x="0" y="0"/>
                          <a:ext cx="5391150" cy="1388853"/>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AB09E0" id="Rounded Rectangle 13" o:spid="_x0000_s1026" style="position:absolute;margin-left:-5.75pt;margin-top:5.5pt;width:424.5pt;height:109.3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76nAIAAJgFAAAOAAAAZHJzL2Uyb0RvYy54bWysVEtv2zAMvg/YfxB0Xx2nzZYGdYqgRYcB&#10;RRv0gZ5VWYoFSKImKXGyXz9KfjToih2G5eCIIvmR/ETy4nJvNNkJHxTYipYnE0qE5VAru6no89PN&#10;lzklITJbMw1WVPQgAr1cfv500bqFmEIDuhaeIIgNi9ZVtInRLYoi8EYYFk7ACYtKCd6wiKLfFLVn&#10;LaIbXUwnk69FC752HrgIAW+vOyVdZnwpBY/3UgYRia4o5hbz1+fva/oWywu22HjmGsX7NNg/ZGGY&#10;shh0hLpmkZGtV39AGcU9BJDxhIMpQErFRa4Bqykn76p5bJgTuRYkJ7iRpvD/YPndbu2JqvHtTimx&#10;zOAbPcDW1qImD8gesxstCOqQqNaFBdo/urXvpYDHVPVeepP+sR6yz+QeRnLFPhKOl7PT87Kc4Rtw&#10;1JWn8/l8llGLN3fnQ/wuwJB0qKhPeaQkMrNsdxsixkX7wS6FtHCjtM7PqG26CKBVne6ykPpIXGlP&#10;dgw7gHEubJymYhDmyBKl5F2kErui8iketEgw2j4IiSxhGdOcTO7P97hlp2pYLbpwswn+hmBDJjl0&#10;BkzIEhMdsXuAwfI457KH6e2Tq8jtPTpP/pZYV/DokSODjaOzURb8RwA6jpE7+4GkjprE0ivUB+wh&#10;D91wBcdvFL7fLQtxzTxOE745boh4jx+poa0o9CdKGvC/PrpP9tjkqKWkxemsaPi5ZV5Qon9YbP/z&#10;8uwsjXMWzmbfpij4Y83rscZuzRXg85e4ixzPx2Qf9XCUHswLLpJViooqZjnGriiPfhCuYrc1cBVx&#10;sVplMxxhx+KtfXQ8gSdWU2s+7V+Yd30TR+z/OxgmmS3etXFnmzwtrLYRpMo9/sZrzzeOf26cflWl&#10;/XIsZ6u3hbr8DQAA//8DAFBLAwQUAAYACAAAACEA9KiMVOAAAAAKAQAADwAAAGRycy9kb3ducmV2&#10;LnhtbEyPwU7DMBBE70j8g7VI3FrHQaVpGqdCRUgcEBKl9OzGSxI1Xkex2wS+nuUEx515mp0pNpPr&#10;xAWH0HrSoOYJCKTK25ZqDfv3p1kGIkRD1nSeUMMXBtiU11eFya0f6Q0vu1gLDqGQGw1NjH0uZaga&#10;dCbMfY/E3qcfnIl8DrW0gxk53HUyTZJ76UxL/KExPW4brE67s9PwPfbb/cuzOsjH6WPxOmTJuKKT&#10;1rc308MaRMQp/sHwW5+rQ8mdjv5MNohOw0ypBaNsKN7EQHa3ZOGoIU1XS5BlIf9PKH8AAAD//wMA&#10;UEsBAi0AFAAGAAgAAAAhALaDOJL+AAAA4QEAABMAAAAAAAAAAAAAAAAAAAAAAFtDb250ZW50X1R5&#10;cGVzXS54bWxQSwECLQAUAAYACAAAACEAOP0h/9YAAACUAQAACwAAAAAAAAAAAAAAAAAvAQAAX3Jl&#10;bHMvLnJlbHNQSwECLQAUAAYACAAAACEAG3ku+pwCAACYBQAADgAAAAAAAAAAAAAAAAAuAgAAZHJz&#10;L2Uyb0RvYy54bWxQSwECLQAUAAYACAAAACEA9KiMVOAAAAAKAQAADwAAAAAAAAAAAAAAAAD2BAAA&#10;ZHJzL2Rvd25yZXYueG1sUEsFBgAAAAAEAAQA8wAAAAMGAAAAAA==&#10;" filled="f" strokecolor="#00b2aa [3205]" strokeweight="2pt">
                <w10:wrap anchorx="margin"/>
              </v:roundrect>
            </w:pict>
          </mc:Fallback>
        </mc:AlternateContent>
      </w:r>
    </w:p>
    <w:p w:rsidR="00A057AB" w:rsidRPr="00D6050F" w:rsidRDefault="00A057AB" w:rsidP="00A057AB">
      <w:pPr>
        <w:pStyle w:val="HPRAMainBodyText"/>
        <w:jc w:val="both"/>
        <w:rPr>
          <w:b/>
          <w:color w:val="00B2AA" w:themeColor="accent2"/>
        </w:rPr>
      </w:pPr>
      <w:r w:rsidRPr="00D6050F">
        <w:rPr>
          <w:b/>
          <w:i/>
          <w:color w:val="00B2AA" w:themeColor="accent2"/>
        </w:rPr>
        <w:t>Medium impact shortages</w:t>
      </w:r>
    </w:p>
    <w:p w:rsidR="00A057AB" w:rsidRDefault="00A057AB" w:rsidP="00A057AB">
      <w:pPr>
        <w:pStyle w:val="HPRAMainBodyText"/>
        <w:jc w:val="both"/>
      </w:pPr>
      <w:r>
        <w:t xml:space="preserve">The potential response to a medium impact shortage is based on the assumption that healthcare professionals are reasonably able to manage the situation if they have access to timely information about supply arrangements.  </w:t>
      </w:r>
    </w:p>
    <w:p w:rsidR="00A057AB" w:rsidRDefault="00A057AB" w:rsidP="00A057AB">
      <w:pPr>
        <w:pStyle w:val="HPRAMainBodyText"/>
        <w:jc w:val="both"/>
      </w:pPr>
    </w:p>
    <w:p w:rsidR="00A057AB" w:rsidRDefault="00A057AB" w:rsidP="00A057AB">
      <w:pPr>
        <w:pStyle w:val="HPRAMainBodyText"/>
        <w:jc w:val="both"/>
      </w:pPr>
      <w:r w:rsidRPr="009454C3">
        <w:rPr>
          <w:i/>
          <w:color w:val="00B2AA" w:themeColor="accent2"/>
        </w:rPr>
        <w:t>Example:</w:t>
      </w:r>
      <w:r w:rsidRPr="00D6050F">
        <w:rPr>
          <w:color w:val="00B2AA" w:themeColor="accent2"/>
        </w:rPr>
        <w:t xml:space="preserve"> </w:t>
      </w:r>
      <w:r w:rsidRPr="00D6050F">
        <w:rPr>
          <w:i/>
        </w:rPr>
        <w:t>a shortage of a proton pump inhibitor where a doctor would need to c</w:t>
      </w:r>
      <w:r>
        <w:rPr>
          <w:i/>
        </w:rPr>
        <w:t>hange the prescription</w:t>
      </w:r>
      <w:r w:rsidRPr="00D6050F">
        <w:rPr>
          <w:i/>
        </w:rPr>
        <w:t xml:space="preserve"> to another medicine.</w:t>
      </w:r>
      <w:r>
        <w:t xml:space="preserve"> </w:t>
      </w:r>
    </w:p>
    <w:p w:rsidR="00A057AB" w:rsidRDefault="00A057AB" w:rsidP="00A057AB">
      <w:pPr>
        <w:pStyle w:val="HPRAMainBodyText"/>
        <w:jc w:val="both"/>
      </w:pPr>
    </w:p>
    <w:p w:rsidR="00A057AB" w:rsidRDefault="00A057AB" w:rsidP="00A057AB">
      <w:pPr>
        <w:pStyle w:val="HPRAMainBodyText"/>
        <w:jc w:val="both"/>
        <w:rPr>
          <w:b/>
          <w:i/>
          <w:color w:val="D4318C" w:themeColor="accent6"/>
        </w:rPr>
      </w:pPr>
      <w:r>
        <w:rPr>
          <w:b/>
          <w:i/>
          <w:noProof/>
          <w:lang w:eastAsia="en-IE"/>
        </w:rPr>
        <mc:AlternateContent>
          <mc:Choice Requires="wps">
            <w:drawing>
              <wp:anchor distT="0" distB="0" distL="114300" distR="114300" simplePos="0" relativeHeight="251666432" behindDoc="1" locked="0" layoutInCell="1" allowOverlap="1" wp14:anchorId="403CCEDC" wp14:editId="77D8A5BC">
                <wp:simplePos x="0" y="0"/>
                <wp:positionH relativeFrom="column">
                  <wp:posOffset>-73025</wp:posOffset>
                </wp:positionH>
                <wp:positionV relativeFrom="paragraph">
                  <wp:posOffset>59319</wp:posOffset>
                </wp:positionV>
                <wp:extent cx="5391150" cy="1716657"/>
                <wp:effectExtent l="0" t="0" r="19050" b="17145"/>
                <wp:wrapNone/>
                <wp:docPr id="16" name="Rounded Rectangle 16"/>
                <wp:cNvGraphicFramePr/>
                <a:graphic xmlns:a="http://schemas.openxmlformats.org/drawingml/2006/main">
                  <a:graphicData uri="http://schemas.microsoft.com/office/word/2010/wordprocessingShape">
                    <wps:wsp>
                      <wps:cNvSpPr/>
                      <wps:spPr>
                        <a:xfrm>
                          <a:off x="0" y="0"/>
                          <a:ext cx="5391150" cy="1716657"/>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4A5707" id="Rounded Rectangle 16" o:spid="_x0000_s1026" style="position:absolute;margin-left:-5.75pt;margin-top:4.65pt;width:424.5pt;height:135.1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H6mgIAAJgFAAAOAAAAZHJzL2Uyb0RvYy54bWysVFFv2yAQfp+0/4B4Xx1nTdpadaqoVadJ&#10;VRu1nfpMMcRIwDEgcbJfvwM7btRVe5jmB8xxd9/dfRx3ebUzmmyFDwpsTcuTCSXCcmiUXdf0x/Pt&#10;l3NKQmS2YRqsqOleBHq1+PzpsnOVmEILuhGeIIgNVedq2sboqqIIvBWGhRNwwqJSgjcsoujXReNZ&#10;h+hGF9PJZF504BvngYsQ8PSmV9JFxpdS8PggZRCR6JpibjGvPq+vaS0Wl6xae+ZaxYc02D9kYZiy&#10;GHSEumGRkY1Xf0AZxT0EkPGEgylASsVFrgGrKSfvqnlqmRO5FiQnuJGm8P9g+f125Ylq8O7mlFhm&#10;8I4eYWMb0ZBHZI/ZtRYEdUhU50KF9k9u5Qcp4DZVvZPepD/WQ3aZ3P1IrthFwvFw9vWiLGd4Bxx1&#10;5Vk5n8/OEmrx5u58iN8EGJI2NfUpj5REZpZt70Ls7Q92KaSFW6U1nrNK27QG0KpJZ1lIfSSutSdb&#10;hh3AOBc25mIw7JElSsm7SCX2ReVd3GvRIz8KiSxhGdOcTO7P97hlr2pZI/pwswl+Q42jR65YWwRM&#10;yBITHbEHgI9yLgeYwT65itzeo/Pkb4n1vI0eOTLYODobZcF/BKDjGLm3P5DUU5NYeoVmjz3koX9c&#10;wfFbhfd3x0JcMY+vCe8cJ0R8wEVq6GoKw46SFvyvj86TPTY5ainp8HXWNPzcMC8o0d8ttv9FeXqa&#10;nnMWTmdnUxT8seb1WGM35hrw+kucRY7nbbKP+rCVHswLDpJliooqZjnGrimP/iBcx35q4CjiYrnM&#10;ZviEHYt39snxBJ5YTa35vHth3g1NHLH/7+Hwkln1ro172+RpYbmJIFXu8TdeB77x+efGGUZVmi/H&#10;crZ6G6iL3wAAAP//AwBQSwMEFAAGAAgAAAAhAPUKEmTdAAAACQEAAA8AAABkcnMvZG93bnJldi54&#10;bWxMj8FOwzAQRO9I/IO1SNxaJw00bYhTVQjOFQUJjm68JFHjdbDdNvl7tic4jmY086bcjLYXZ/Sh&#10;c6QgnScgkGpnOmoUfLy/zlYgQtRkdO8IFUwYYFPd3pS6MO5Cb3jex0ZwCYVCK2hjHAopQ92i1WHu&#10;BiT2vp23OrL0jTReX7jc9nKRJEtpdUe80OoBn1usj/uTVRCmhnD3mflcbn++sml4meqHo1L3d+P2&#10;CUTEMf6F4YrP6FAx08GdyATRK5il6SNHFawzEOyvspz1QcEiXy9BVqX8/6D6BQAA//8DAFBLAQIt&#10;ABQABgAIAAAAIQC2gziS/gAAAOEBAAATAAAAAAAAAAAAAAAAAAAAAABbQ29udGVudF9UeXBlc10u&#10;eG1sUEsBAi0AFAAGAAgAAAAhADj9If/WAAAAlAEAAAsAAAAAAAAAAAAAAAAALwEAAF9yZWxzLy5y&#10;ZWxzUEsBAi0AFAAGAAgAAAAhAPaDQfqaAgAAmAUAAA4AAAAAAAAAAAAAAAAALgIAAGRycy9lMm9E&#10;b2MueG1sUEsBAi0AFAAGAAgAAAAhAPUKEmTdAAAACQEAAA8AAAAAAAAAAAAAAAAA9AQAAGRycy9k&#10;b3ducmV2LnhtbFBLBQYAAAAABAAEAPMAAAD+BQAAAAA=&#10;" filled="f" strokecolor="#d4318c [3209]" strokeweight="2pt"/>
            </w:pict>
          </mc:Fallback>
        </mc:AlternateContent>
      </w:r>
    </w:p>
    <w:p w:rsidR="00A057AB" w:rsidRPr="00606BB8" w:rsidRDefault="00A057AB" w:rsidP="00A057AB">
      <w:pPr>
        <w:pStyle w:val="HPRAMainBodyText"/>
        <w:jc w:val="both"/>
        <w:rPr>
          <w:b/>
          <w:i/>
        </w:rPr>
      </w:pPr>
      <w:r w:rsidRPr="00D6050F">
        <w:rPr>
          <w:b/>
          <w:i/>
          <w:color w:val="D4318C" w:themeColor="accent6"/>
        </w:rPr>
        <w:t>High impact shortage</w:t>
      </w:r>
      <w:r w:rsidRPr="00606BB8">
        <w:rPr>
          <w:b/>
          <w:i/>
        </w:rPr>
        <w:tab/>
      </w:r>
    </w:p>
    <w:p w:rsidR="00A057AB" w:rsidRDefault="00A057AB" w:rsidP="00A057AB">
      <w:pPr>
        <w:pStyle w:val="HPRAMainBodyText"/>
        <w:jc w:val="both"/>
      </w:pPr>
      <w:r>
        <w:t>The required response is based on the assumption that healthcare professionals require highly specific and urgent information on the nature and anticipated duration of the shortage as well as details about supply arrangements and clinical guidance on substitute medicines or therapeutic alternatives.</w:t>
      </w:r>
    </w:p>
    <w:p w:rsidR="00A057AB" w:rsidRDefault="00A057AB" w:rsidP="00A057AB">
      <w:pPr>
        <w:pStyle w:val="HPRAMainBodyText"/>
        <w:jc w:val="both"/>
      </w:pPr>
    </w:p>
    <w:p w:rsidR="00A057AB" w:rsidRDefault="00A057AB" w:rsidP="00A057AB">
      <w:pPr>
        <w:pStyle w:val="HPRAMainBodyText"/>
        <w:jc w:val="both"/>
      </w:pPr>
      <w:r w:rsidRPr="009454C3">
        <w:rPr>
          <w:i/>
          <w:color w:val="D4318C" w:themeColor="accent6"/>
        </w:rPr>
        <w:t>Example:</w:t>
      </w:r>
      <w:r w:rsidRPr="00D6050F">
        <w:rPr>
          <w:color w:val="D4318C" w:themeColor="accent6"/>
        </w:rPr>
        <w:t xml:space="preserve"> </w:t>
      </w:r>
      <w:r w:rsidRPr="00D6050F">
        <w:rPr>
          <w:i/>
        </w:rPr>
        <w:t>a batch failure of a heparin-ba</w:t>
      </w:r>
      <w:r>
        <w:rPr>
          <w:i/>
        </w:rPr>
        <w:t>sed product. This switch to a</w:t>
      </w:r>
      <w:r w:rsidRPr="00D6050F">
        <w:rPr>
          <w:i/>
        </w:rPr>
        <w:t xml:space="preserve"> therapeutic alternative</w:t>
      </w:r>
      <w:r>
        <w:rPr>
          <w:i/>
        </w:rPr>
        <w:t xml:space="preserve"> is complex</w:t>
      </w:r>
      <w:r w:rsidRPr="00D6050F">
        <w:rPr>
          <w:i/>
        </w:rPr>
        <w:t xml:space="preserve"> and the post-surgical population group could potentially experience life-threatening impacts if this medicine was not available.</w:t>
      </w:r>
    </w:p>
    <w:p w:rsidR="00A057AB" w:rsidRDefault="00A057AB" w:rsidP="00A057AB">
      <w:pPr>
        <w:pStyle w:val="HPRAMainBodyText"/>
        <w:jc w:val="both"/>
      </w:pPr>
    </w:p>
    <w:p w:rsidR="00A057AB" w:rsidRDefault="00A057AB" w:rsidP="00A057AB">
      <w:pPr>
        <w:pStyle w:val="HPRAMainBodyText"/>
        <w:jc w:val="both"/>
      </w:pPr>
      <w:r w:rsidRPr="00650B54">
        <w:lastRenderedPageBreak/>
        <w:t xml:space="preserve">Although MAHs are not required to use the above method as part of the impact assessment (industry generated papers detailing risk assessments for shortages are available, for example), the principles </w:t>
      </w:r>
      <w:r>
        <w:t xml:space="preserve">described in relation to </w:t>
      </w:r>
      <w:r w:rsidRPr="00650B54">
        <w:t xml:space="preserve">what constitutes a low, medium or high impact should be used in order to harmonise the understanding of the impact of a shortage. </w:t>
      </w:r>
      <w:r>
        <w:t xml:space="preserve">The impact of the shortage can also inform a proportionate mitigation response from the MAH. </w:t>
      </w:r>
    </w:p>
    <w:p w:rsidR="00A057AB" w:rsidRDefault="00A057AB" w:rsidP="00A057AB">
      <w:pPr>
        <w:pStyle w:val="HPRAMainBodyText"/>
        <w:jc w:val="both"/>
      </w:pPr>
    </w:p>
    <w:p w:rsidR="00A057AB" w:rsidRDefault="00A057AB" w:rsidP="00A057AB">
      <w:pPr>
        <w:pStyle w:val="HPRAHeadingL2"/>
        <w:jc w:val="both"/>
      </w:pPr>
      <w:r>
        <w:t>Communication</w:t>
      </w:r>
    </w:p>
    <w:p w:rsidR="00A057AB" w:rsidRDefault="00A057AB" w:rsidP="00A057AB">
      <w:pPr>
        <w:pStyle w:val="HPRAMainBodyText"/>
        <w:jc w:val="both"/>
      </w:pPr>
    </w:p>
    <w:p w:rsidR="00A057AB" w:rsidRDefault="00A057AB" w:rsidP="00A057AB">
      <w:pPr>
        <w:pStyle w:val="HPRAMainBodyText"/>
        <w:jc w:val="both"/>
      </w:pPr>
      <w:r>
        <w:t>Stakeholders, particularly healthcare professionals and patients, are better placed to address a shortage if there is appropriate communication. For example, t</w:t>
      </w:r>
      <w:r w:rsidRPr="009E3ED7">
        <w:t xml:space="preserve">imely communication of actual or potential shortages to </w:t>
      </w:r>
      <w:r>
        <w:t xml:space="preserve">healthcare professionals </w:t>
      </w:r>
      <w:r w:rsidRPr="009E3ED7">
        <w:t xml:space="preserve">can facilitate changes to prescriptions, </w:t>
      </w:r>
      <w:r>
        <w:t xml:space="preserve">give </w:t>
      </w:r>
      <w:r w:rsidRPr="009E3ED7">
        <w:t>time to source and introduce alternative therapies and reduce the impact on healthcare systems.</w:t>
      </w:r>
      <w:r>
        <w:t xml:space="preserve"> The timing of the communication depends on the dynamics of the particular shortage. Not all potential shortages result in an actual shortage and therefore, communication of potential shortages may not be required. </w:t>
      </w:r>
    </w:p>
    <w:p w:rsidR="00A057AB" w:rsidRDefault="00A057AB" w:rsidP="00A057AB">
      <w:pPr>
        <w:pStyle w:val="HPRAMainBodyText"/>
        <w:jc w:val="both"/>
      </w:pPr>
    </w:p>
    <w:p w:rsidR="00A057AB" w:rsidRDefault="00A057AB" w:rsidP="00A057AB">
      <w:pPr>
        <w:pStyle w:val="HPRAMainBodyText"/>
        <w:jc w:val="both"/>
      </w:pPr>
      <w:r>
        <w:t>Shortages will be communicated via the HPRA website, particularly medium and high impact shortages. Low impact shortages will usually not be published as many of these cases can be resolved by the pharmacist as part of good professional practice. Stakeholders can register on the HPRA website for e-mail alerts in relation to shortages. The information that will be published on the HPRA website includes:</w:t>
      </w:r>
    </w:p>
    <w:p w:rsidR="00A057AB" w:rsidRDefault="00A057AB" w:rsidP="00A057AB">
      <w:pPr>
        <w:pStyle w:val="HPRAMainBodyText"/>
        <w:jc w:val="both"/>
      </w:pPr>
    </w:p>
    <w:p w:rsidR="00A057AB" w:rsidRDefault="00A057AB" w:rsidP="00A057AB">
      <w:pPr>
        <w:pStyle w:val="HPRAMainBodyText"/>
        <w:numPr>
          <w:ilvl w:val="0"/>
          <w:numId w:val="18"/>
        </w:numPr>
        <w:ind w:left="284" w:hanging="284"/>
      </w:pPr>
      <w:r>
        <w:t>The name of the medicinal product</w:t>
      </w:r>
    </w:p>
    <w:p w:rsidR="00A057AB" w:rsidRDefault="00A057AB" w:rsidP="00A057AB">
      <w:pPr>
        <w:pStyle w:val="HPRAMainBodyText"/>
        <w:numPr>
          <w:ilvl w:val="0"/>
          <w:numId w:val="18"/>
        </w:numPr>
        <w:ind w:left="284" w:hanging="284"/>
      </w:pPr>
      <w:r>
        <w:t>The active ingredient</w:t>
      </w:r>
    </w:p>
    <w:p w:rsidR="00A057AB" w:rsidRDefault="00A057AB" w:rsidP="00A057AB">
      <w:pPr>
        <w:pStyle w:val="HPRAMainBodyText"/>
        <w:numPr>
          <w:ilvl w:val="0"/>
          <w:numId w:val="18"/>
        </w:numPr>
        <w:ind w:left="284" w:right="-468" w:hanging="284"/>
      </w:pPr>
      <w:r>
        <w:t>The marketing authorisation number</w:t>
      </w:r>
    </w:p>
    <w:p w:rsidR="00A057AB" w:rsidRDefault="00A057AB" w:rsidP="00A057AB">
      <w:pPr>
        <w:pStyle w:val="HPRAMainBodyText"/>
        <w:numPr>
          <w:ilvl w:val="0"/>
          <w:numId w:val="18"/>
        </w:numPr>
        <w:ind w:left="284" w:hanging="284"/>
      </w:pPr>
      <w:r>
        <w:t>The reason for the shortage</w:t>
      </w:r>
    </w:p>
    <w:p w:rsidR="00A057AB" w:rsidRDefault="00A057AB" w:rsidP="00A057AB">
      <w:pPr>
        <w:pStyle w:val="HPRAMainBodyText"/>
        <w:numPr>
          <w:ilvl w:val="0"/>
          <w:numId w:val="18"/>
        </w:numPr>
        <w:ind w:left="284" w:hanging="284"/>
      </w:pPr>
      <w:r>
        <w:t>The expected return date</w:t>
      </w:r>
    </w:p>
    <w:p w:rsidR="00A057AB" w:rsidRDefault="00A057AB" w:rsidP="00A057AB">
      <w:pPr>
        <w:pStyle w:val="HPRAMainBodyText"/>
        <w:numPr>
          <w:ilvl w:val="0"/>
          <w:numId w:val="18"/>
        </w:numPr>
        <w:ind w:left="284" w:hanging="284"/>
      </w:pPr>
      <w:r>
        <w:t>Company details for further information</w:t>
      </w:r>
    </w:p>
    <w:p w:rsidR="00A057AB" w:rsidRDefault="00A057AB" w:rsidP="00A057AB">
      <w:pPr>
        <w:pStyle w:val="HPRAMainBodyText"/>
        <w:numPr>
          <w:ilvl w:val="0"/>
          <w:numId w:val="18"/>
        </w:numPr>
        <w:ind w:left="284" w:hanging="284"/>
      </w:pPr>
      <w:r>
        <w:t>Additional information as needed (e.g. communication from the MAH)</w:t>
      </w:r>
    </w:p>
    <w:p w:rsidR="00A057AB" w:rsidRDefault="00A057AB" w:rsidP="00A057AB">
      <w:pPr>
        <w:pStyle w:val="HPRAMainBodyText"/>
        <w:jc w:val="both"/>
      </w:pPr>
    </w:p>
    <w:p w:rsidR="00A057AB" w:rsidRDefault="00A057AB" w:rsidP="00A057AB">
      <w:pPr>
        <w:pStyle w:val="HPRAMainBodyText"/>
        <w:jc w:val="both"/>
      </w:pPr>
      <w:r>
        <w:t xml:space="preserve">High impact shortages may involve a range of stakeholders working together, sharing expertise and information, in which case additional communication media or additional communication by the HPRA, HSE or MAH may be used. </w:t>
      </w:r>
    </w:p>
    <w:p w:rsidR="00A057AB" w:rsidRDefault="00A057AB" w:rsidP="00A057AB">
      <w:pPr>
        <w:pStyle w:val="HPRAMainBodyText"/>
        <w:jc w:val="both"/>
      </w:pPr>
    </w:p>
    <w:p w:rsidR="00A057AB" w:rsidRDefault="00A057AB" w:rsidP="00A057AB">
      <w:pPr>
        <w:pStyle w:val="HPRAMainBodyText"/>
        <w:jc w:val="both"/>
      </w:pPr>
      <w:r>
        <w:t xml:space="preserve">Once normal supply has resumed and confirmation is sent to the HPRA, either by the MAH or their representative (such as its nominated primary wholesaler), the HPRA then updates the website to reflect the status of the shortage situation and closes the shortages case. </w:t>
      </w:r>
    </w:p>
    <w:p w:rsidR="00A057AB" w:rsidRDefault="00A057AB" w:rsidP="00A057AB">
      <w:pPr>
        <w:pStyle w:val="HPRAMainBodyText"/>
        <w:jc w:val="both"/>
      </w:pPr>
    </w:p>
    <w:p w:rsidR="00A057AB" w:rsidRDefault="00A057AB" w:rsidP="00A057AB">
      <w:pPr>
        <w:pStyle w:val="HPRAMainBodyText"/>
        <w:jc w:val="both"/>
      </w:pPr>
    </w:p>
    <w:p w:rsidR="00A057AB" w:rsidRPr="00BF20F3" w:rsidRDefault="00A057AB" w:rsidP="00A057AB">
      <w:pPr>
        <w:pStyle w:val="HPRAHeadingL1"/>
        <w:jc w:val="both"/>
      </w:pPr>
      <w:bookmarkStart w:id="10" w:name="_Toc521497274"/>
      <w:r>
        <w:t>Preventative Strategies</w:t>
      </w:r>
      <w:bookmarkEnd w:id="10"/>
    </w:p>
    <w:p w:rsidR="00A057AB" w:rsidRDefault="00A057AB" w:rsidP="00A057AB">
      <w:pPr>
        <w:pStyle w:val="HPRAMainBodyText"/>
        <w:jc w:val="both"/>
      </w:pPr>
    </w:p>
    <w:p w:rsidR="00A057AB" w:rsidRDefault="00A057AB" w:rsidP="00A057AB">
      <w:pPr>
        <w:pStyle w:val="HPRAMainBodyText"/>
        <w:jc w:val="both"/>
      </w:pPr>
      <w:r>
        <w:t xml:space="preserve">In addition to the framework for handling shortages, another feature of the multi-stakeholder approach is that the HPRA and other stakeholders will develop and implement </w:t>
      </w:r>
      <w:r w:rsidRPr="00671731">
        <w:t>preventative</w:t>
      </w:r>
      <w:r>
        <w:t xml:space="preserve"> strategies </w:t>
      </w:r>
      <w:r w:rsidRPr="00AE4E9D">
        <w:t xml:space="preserve">to </w:t>
      </w:r>
      <w:r>
        <w:t>reduce the likelihood of</w:t>
      </w:r>
      <w:r w:rsidRPr="00AE4E9D">
        <w:t xml:space="preserve"> shortages</w:t>
      </w:r>
      <w:r>
        <w:t xml:space="preserve"> occurring in the first instance. In many </w:t>
      </w:r>
      <w:r>
        <w:lastRenderedPageBreak/>
        <w:t xml:space="preserve">instances, these will be aimed at the underlying causes of shortages and would ensure that shortage prevention is actively considered as part of the life cycle management of the medicine. </w:t>
      </w:r>
    </w:p>
    <w:p w:rsidR="00A057AB" w:rsidRDefault="00A057AB" w:rsidP="00A057AB">
      <w:pPr>
        <w:pStyle w:val="HPRAMainBodyText"/>
        <w:jc w:val="both"/>
      </w:pPr>
    </w:p>
    <w:p w:rsidR="00A057AB" w:rsidRDefault="00A057AB" w:rsidP="00A057AB">
      <w:pPr>
        <w:pStyle w:val="HPRAMainBodyText"/>
        <w:jc w:val="both"/>
      </w:pPr>
      <w:r>
        <w:t>Illustrative examples of preventative strategies include stakeholder-developed strategies and principles such as:</w:t>
      </w:r>
    </w:p>
    <w:p w:rsidR="00A057AB" w:rsidRDefault="00A057AB" w:rsidP="00A057AB">
      <w:pPr>
        <w:pStyle w:val="HPRAMainBodyText"/>
        <w:jc w:val="both"/>
      </w:pPr>
    </w:p>
    <w:p w:rsidR="00A057AB" w:rsidRDefault="00A057AB" w:rsidP="00A057AB">
      <w:pPr>
        <w:pStyle w:val="HPRAMainBodyText"/>
        <w:numPr>
          <w:ilvl w:val="0"/>
          <w:numId w:val="20"/>
        </w:numPr>
        <w:ind w:left="284" w:hanging="284"/>
        <w:jc w:val="both"/>
      </w:pPr>
      <w:r w:rsidRPr="00384943">
        <w:t>Systems-based tools to assist stakeholders assess their preparedness for preventing or managing a shortage</w:t>
      </w:r>
      <w:r>
        <w:t>. They</w:t>
      </w:r>
      <w:r w:rsidRPr="00384943">
        <w:t xml:space="preserve"> </w:t>
      </w:r>
      <w:r>
        <w:t>include</w:t>
      </w:r>
      <w:r w:rsidRPr="00384943">
        <w:t xml:space="preserve"> recommendations for developing </w:t>
      </w:r>
      <w:r>
        <w:t xml:space="preserve">a </w:t>
      </w:r>
      <w:r w:rsidRPr="00384943">
        <w:t>corporate quality culture,</w:t>
      </w:r>
      <w:r>
        <w:t xml:space="preserve"> a</w:t>
      </w:r>
      <w:r w:rsidRPr="00384943">
        <w:t xml:space="preserve"> robust quality system, metrics, business continuity planning</w:t>
      </w:r>
      <w:r>
        <w:t xml:space="preserve"> and optimal</w:t>
      </w:r>
      <w:r w:rsidRPr="00384943">
        <w:t xml:space="preserve"> communication </w:t>
      </w:r>
      <w:r>
        <w:t xml:space="preserve">as these aspects </w:t>
      </w:r>
      <w:r w:rsidRPr="00384943">
        <w:t>relate to shortages.</w:t>
      </w:r>
    </w:p>
    <w:p w:rsidR="00A057AB" w:rsidRDefault="00A057AB" w:rsidP="00A057AB">
      <w:pPr>
        <w:pStyle w:val="HPRAMainBodyText"/>
        <w:numPr>
          <w:ilvl w:val="0"/>
          <w:numId w:val="20"/>
        </w:numPr>
        <w:ind w:left="284" w:hanging="284"/>
        <w:jc w:val="both"/>
      </w:pPr>
      <w:r>
        <w:t>Product level risk-based tools</w:t>
      </w:r>
      <w:r w:rsidRPr="003524A3">
        <w:t xml:space="preserve"> </w:t>
      </w:r>
      <w:r>
        <w:t xml:space="preserve">to </w:t>
      </w:r>
      <w:r w:rsidRPr="00384943">
        <w:t>help</w:t>
      </w:r>
      <w:r>
        <w:t xml:space="preserve"> pre-emptively</w:t>
      </w:r>
      <w:r w:rsidRPr="00384943">
        <w:t xml:space="preserve"> identify potential risks to </w:t>
      </w:r>
      <w:r>
        <w:t>a medicine’s supply. These include a medicine shortage risk r</w:t>
      </w:r>
      <w:r w:rsidRPr="00AC3B1C">
        <w:t xml:space="preserve">egister and a </w:t>
      </w:r>
      <w:r>
        <w:t>medicine shortage prevention and response plan.</w:t>
      </w:r>
      <w:r w:rsidRPr="00AC3B1C">
        <w:t xml:space="preserve"> </w:t>
      </w:r>
    </w:p>
    <w:p w:rsidR="00A057AB" w:rsidRDefault="00A057AB" w:rsidP="00A057AB">
      <w:pPr>
        <w:pStyle w:val="HPRAMainBodyText"/>
        <w:jc w:val="both"/>
      </w:pPr>
      <w:bookmarkStart w:id="11" w:name="_Toc504295684"/>
    </w:p>
    <w:p w:rsidR="00A057AB" w:rsidRDefault="00A057AB" w:rsidP="00A057AB">
      <w:pPr>
        <w:pStyle w:val="HPRAMainBodyText"/>
        <w:jc w:val="both"/>
      </w:pPr>
    </w:p>
    <w:p w:rsidR="00A057AB" w:rsidRPr="00BF20F3" w:rsidRDefault="00A057AB" w:rsidP="00A057AB">
      <w:pPr>
        <w:pStyle w:val="HPRAHeadingL1"/>
        <w:jc w:val="both"/>
      </w:pPr>
      <w:bookmarkStart w:id="12" w:name="_Toc521497275"/>
      <w:r>
        <w:t>Concluding remarks</w:t>
      </w:r>
      <w:bookmarkEnd w:id="12"/>
    </w:p>
    <w:p w:rsidR="00A057AB" w:rsidRDefault="00A057AB" w:rsidP="00A057AB">
      <w:pPr>
        <w:pStyle w:val="HPRAMainBodyText"/>
        <w:jc w:val="both"/>
      </w:pPr>
    </w:p>
    <w:p w:rsidR="00A057AB" w:rsidRDefault="00A057AB" w:rsidP="00A057AB">
      <w:pPr>
        <w:pStyle w:val="HPRAMainBodyText"/>
        <w:jc w:val="both"/>
      </w:pPr>
      <w:r>
        <w:t xml:space="preserve">As alluded to in the first Section, the purpose of the document is to outline a framework for stakeholders </w:t>
      </w:r>
      <w:r>
        <w:rPr>
          <w:color w:val="000000"/>
        </w:rPr>
        <w:t xml:space="preserve">to </w:t>
      </w:r>
      <w:r w:rsidRPr="000D788A">
        <w:rPr>
          <w:color w:val="000000"/>
        </w:rPr>
        <w:t>reduce the impact of shortages on patients</w:t>
      </w:r>
      <w:r>
        <w:rPr>
          <w:color w:val="000000"/>
        </w:rPr>
        <w:t xml:space="preserve">. The framework is part of an iterative process for the development of appropriate responses and efforts to mitigate against the risk of shortages. Whilst the HPRA has a co-ordinating function, the importance of all stakeholders contributing to the management of shortages is essential to addressing the issue of medicine shortages in Ireland.  </w:t>
      </w:r>
    </w:p>
    <w:bookmarkEnd w:id="11"/>
    <w:p w:rsidR="00A057AB" w:rsidRPr="00CA5408" w:rsidRDefault="00A057AB" w:rsidP="00A057AB">
      <w:pPr>
        <w:rPr>
          <w:rFonts w:ascii="Segoe UI" w:hAnsi="Segoe UI" w:cs="Segoe UI"/>
          <w:b/>
          <w:bCs/>
          <w:caps/>
          <w:color w:val="007041" w:themeColor="accent4"/>
          <w:sz w:val="20"/>
          <w:szCs w:val="24"/>
        </w:rPr>
      </w:pPr>
    </w:p>
    <w:p w:rsidR="0036771C" w:rsidRDefault="0036771C" w:rsidP="009E6183">
      <w:pPr>
        <w:pStyle w:val="HPRAMainBodyText"/>
        <w:rPr>
          <w:rStyle w:val="Hyperlink"/>
        </w:rPr>
      </w:pPr>
    </w:p>
    <w:sectPr w:rsidR="0036771C" w:rsidSect="008452F3">
      <w:headerReference w:type="default" r:id="rId31"/>
      <w:footerReference w:type="default" r:id="rId32"/>
      <w:type w:val="continuous"/>
      <w:pgSz w:w="11906" w:h="16838" w:code="9"/>
      <w:pgMar w:top="2381" w:right="1814" w:bottom="2608" w:left="1814" w:header="170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33" w:rsidRDefault="00DB7233" w:rsidP="00D1047B">
      <w:r>
        <w:separator/>
      </w:r>
    </w:p>
    <w:p w:rsidR="00DB7233" w:rsidRDefault="00DB7233"/>
  </w:endnote>
  <w:endnote w:type="continuationSeparator" w:id="0">
    <w:p w:rsidR="00DB7233" w:rsidRDefault="00DB7233" w:rsidP="00D1047B">
      <w:r>
        <w:continuationSeparator/>
      </w:r>
    </w:p>
    <w:p w:rsidR="00DB7233" w:rsidRDefault="00DB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F3" w:rsidRPr="00B47B2C" w:rsidRDefault="00B77DAC" w:rsidP="004B1144">
    <w:pPr>
      <w:pStyle w:val="HPRACoverPagefooter"/>
    </w:pPr>
    <w:r>
      <w:t>SUR-G0045-</w:t>
    </w:r>
    <w:r w:rsidR="008B6C3E">
      <w:t>1</w:t>
    </w:r>
  </w:p>
  <w:p w:rsidR="008452F3" w:rsidRPr="00B47B2C" w:rsidRDefault="00B77DAC" w:rsidP="004B1144">
    <w:pPr>
      <w:pStyle w:val="HPRACoverPagefooter"/>
    </w:pPr>
    <w:r>
      <w:t>2 SEPTEMBER 2021</w:t>
    </w:r>
  </w:p>
  <w:p w:rsidR="008452F3" w:rsidRPr="00B47B2C" w:rsidRDefault="008452F3" w:rsidP="00B20341">
    <w:pPr>
      <w:pStyle w:val="HPRAFPFooter"/>
    </w:pPr>
    <w:r w:rsidRPr="00B47B2C">
      <w:t>This guide does not purport to be an interpretation of law and/or regulations and is for guidance purposes only.</w:t>
    </w:r>
    <w:r w:rsidR="00107F55">
      <w:rPr>
        <w:noProof/>
        <w:lang w:eastAsia="en-IE"/>
      </w:rPr>
      <mc:AlternateContent>
        <mc:Choice Requires="wps">
          <w:drawing>
            <wp:anchor distT="0" distB="0" distL="114300" distR="114300" simplePos="0" relativeHeight="251661312" behindDoc="1" locked="1" layoutInCell="1" allowOverlap="1">
              <wp:simplePos x="0" y="0"/>
              <wp:positionH relativeFrom="page">
                <wp:posOffset>6127750</wp:posOffset>
              </wp:positionH>
              <wp:positionV relativeFrom="page">
                <wp:posOffset>7553960</wp:posOffset>
              </wp:positionV>
              <wp:extent cx="1440180" cy="2700020"/>
              <wp:effectExtent l="3175" t="635" r="444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2F3" w:rsidRDefault="008452F3" w:rsidP="00A85878">
                          <w:r>
                            <w:rPr>
                              <w:noProof/>
                              <w:lang w:eastAsia="en-IE"/>
                            </w:rPr>
                            <w:drawing>
                              <wp:inline distT="0" distB="0" distL="0" distR="0">
                                <wp:extent cx="1438537" cy="2706400"/>
                                <wp:effectExtent l="19050" t="0" r="9263" b="0"/>
                                <wp:docPr id="4"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Crop.png"/>
                                        <pic:cNvPicPr/>
                                      </pic:nvPicPr>
                                      <pic:blipFill>
                                        <a:blip r:embed="rId1"/>
                                        <a:stretch>
                                          <a:fillRect/>
                                        </a:stretch>
                                      </pic:blipFill>
                                      <pic:spPr>
                                        <a:xfrm>
                                          <a:off x="0" y="0"/>
                                          <a:ext cx="1438537" cy="2706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82.5pt;margin-top:594.8pt;width:113.4pt;height:2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SqsAIAALEFAAAOAAAAZHJzL2Uyb0RvYy54bWysVF1vmzAUfZ+0/2D5nWIYSQCVVG0I06Tu&#10;Q2r3AxwwwRrYzHZCumn/fdcmJE37Mm3jwbrY1+d+nON7fXPoWrRnSnMpMhxcEYyYKGXFxTbDXx8L&#10;L8ZIGyoq2krBMvzENL5Zvn1zPfQpC2Uj24opBCBCp0Of4caYPvV9XTaso/pK9kzAYS1VRw38qq1f&#10;KToAetf6ISFzf5Cq6pUsmdawm4+HeOnw65qV5nNda2ZQm2HIzbhVuXVjV395TdOton3Dy2Ma9C+y&#10;6CgXEPQElVND0U7xV1AdL5XUsjZXpex8Wde8ZK4GqCYgL6p5aGjPXC3QHN2f2qT/H2z5af9FIV4B&#10;dxgJ2gFFj+xg0J08oLntztDrFJweenAzB9i2nrZS3d/L8ptGQq4aKrbsVik5NIxWkF1gb/rPro44&#10;2oJsho+ygjB0Z6QDOtSqs4DQDATowNLTiRmbSmlDRhEJYjgq4SxcEEJCx51P0+l6r7R5z2SHrJFh&#10;BdQ7eLq/18amQ9PJxUYTsuBt6+hvxcUGOI47EByu2jObhmPzZ0KSdbyOIy8K52svInnu3RaryJsX&#10;wWKWv8tXqzz4ZeMGUdrwqmLChpmUFUR/xtxR46MmTtrSsuWVhbMpabXdrFqF9hSUXbjPNR1Ozm7+&#10;ZRquCVDLi5KCMCJ3YeIV83jhRUU085IFiT0SJHfJnERJlBeXJd1zwf69JDRkOJmFs1FN56Rf1AZc&#10;w/e6Npp23MDsaHmX4fjkRFOrwbWoHLWG8na0n7XCpn9uBdA9Ee0Ua0U6ytUcNofj0wAwq+aNrJ5A&#10;wkqCwECMMPfAaKT6gdEAMyTD+vuOKoZR+0HAM7ADZzLUZGwmg4oSrmbYYDSaKzMOpl2v+LYB5PGh&#10;CXkLT6XmTsTnLI4PDOaCq+U4w+zgef7vvM6TdvkbAAD//wMAUEsDBBQABgAIAAAAIQC4s+5Z4gAA&#10;AA4BAAAPAAAAZHJzL2Rvd25yZXYueG1sTI/BTsMwEETvSP0Haytxo04QWEmIU1UITkiINBw4OrGb&#10;WI3XIXbb8PdsT3Db0Yxm55XbxY3sbOZgPUpINwkwg53XFnsJn83rXQYsRIVajR6NhB8TYFutbkpV&#10;aH/B2pz3sWdUgqFQEoYYp4Lz0A3GqbDxk0HyDn52KpKce65ndaFyN/L7JBHcKYv0YVCTeR5Md9yf&#10;nITdF9Yv9vu9/agPtW2aPME3cZTydr3snoBFs8S/MFzn03SoaFPrT6gDGyXk4pFYIhlplgtg10ia&#10;p4TT0iXShwx4VfL/GNUvAAAA//8DAFBLAQItABQABgAIAAAAIQC2gziS/gAAAOEBAAATAAAAAAAA&#10;AAAAAAAAAAAAAABbQ29udGVudF9UeXBlc10ueG1sUEsBAi0AFAAGAAgAAAAhADj9If/WAAAAlAEA&#10;AAsAAAAAAAAAAAAAAAAALwEAAF9yZWxzLy5yZWxzUEsBAi0AFAAGAAgAAAAhAF2XpKqwAgAAsQUA&#10;AA4AAAAAAAAAAAAAAAAALgIAAGRycy9lMm9Eb2MueG1sUEsBAi0AFAAGAAgAAAAhALiz7lniAAAA&#10;DgEAAA8AAAAAAAAAAAAAAAAACgUAAGRycy9kb3ducmV2LnhtbFBLBQYAAAAABAAEAPMAAAAZBgAA&#10;AAA=&#10;" filled="f" stroked="f">
              <v:textbox inset="0,0,0,0">
                <w:txbxContent>
                  <w:p w:rsidR="008452F3" w:rsidRDefault="008452F3" w:rsidP="00A85878">
                    <w:r>
                      <w:rPr>
                        <w:noProof/>
                        <w:lang w:eastAsia="en-IE"/>
                      </w:rPr>
                      <w:drawing>
                        <wp:inline distT="0" distB="0" distL="0" distR="0">
                          <wp:extent cx="1438537" cy="2706400"/>
                          <wp:effectExtent l="19050" t="0" r="9263" b="0"/>
                          <wp:docPr id="4"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_Crop.png"/>
                                  <pic:cNvPicPr/>
                                </pic:nvPicPr>
                                <pic:blipFill>
                                  <a:blip r:embed="rId2"/>
                                  <a:stretch>
                                    <a:fillRect/>
                                  </a:stretch>
                                </pic:blipFill>
                                <pic:spPr>
                                  <a:xfrm>
                                    <a:off x="0" y="0"/>
                                    <a:ext cx="1438537" cy="2706400"/>
                                  </a:xfrm>
                                  <a:prstGeom prst="rect">
                                    <a:avLst/>
                                  </a:prstGeom>
                                </pic:spPr>
                              </pic:pic>
                            </a:graphicData>
                          </a:graphic>
                        </wp:inline>
                      </w:drawing>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88" w:rsidRPr="008452F3" w:rsidRDefault="00B77DAC" w:rsidP="00E82AD9">
    <w:pPr>
      <w:pStyle w:val="HPRAS2Footer"/>
      <w:rPr>
        <w:sz w:val="16"/>
        <w:szCs w:val="16"/>
      </w:rPr>
    </w:pPr>
    <w:r>
      <w:rPr>
        <w:sz w:val="16"/>
        <w:szCs w:val="16"/>
      </w:rPr>
      <w:t>SUR-G0045-</w:t>
    </w:r>
    <w:r w:rsidR="008B6C3E">
      <w:rPr>
        <w:sz w:val="16"/>
        <w:szCs w:val="16"/>
      </w:rPr>
      <w:t>1</w:t>
    </w:r>
    <w:r w:rsidR="00894D88" w:rsidRPr="008452F3">
      <w:rPr>
        <w:sz w:val="16"/>
        <w:szCs w:val="16"/>
      </w:rPr>
      <w:tab/>
    </w:r>
    <w:r w:rsidR="00D631BB" w:rsidRPr="008452F3">
      <w:rPr>
        <w:sz w:val="16"/>
        <w:szCs w:val="16"/>
      </w:rPr>
      <w:fldChar w:fldCharType="begin"/>
    </w:r>
    <w:r w:rsidR="00894D88" w:rsidRPr="008452F3">
      <w:rPr>
        <w:sz w:val="16"/>
        <w:szCs w:val="16"/>
      </w:rPr>
      <w:instrText xml:space="preserve"> PAGE   \* MERGEFORMAT </w:instrText>
    </w:r>
    <w:r w:rsidR="00D631BB" w:rsidRPr="008452F3">
      <w:rPr>
        <w:sz w:val="16"/>
        <w:szCs w:val="16"/>
      </w:rPr>
      <w:fldChar w:fldCharType="separate"/>
    </w:r>
    <w:r w:rsidR="00E67562">
      <w:rPr>
        <w:noProof/>
        <w:sz w:val="16"/>
        <w:szCs w:val="16"/>
      </w:rPr>
      <w:t>15</w:t>
    </w:r>
    <w:r w:rsidR="00D631BB" w:rsidRPr="008452F3">
      <w:rPr>
        <w:sz w:val="16"/>
        <w:szCs w:val="16"/>
      </w:rPr>
      <w:fldChar w:fldCharType="end"/>
    </w:r>
    <w:r w:rsidR="00894D88" w:rsidRPr="008452F3">
      <w:rPr>
        <w:sz w:val="16"/>
        <w:szCs w:val="16"/>
      </w:rPr>
      <w:t>/</w:t>
    </w:r>
    <w:fldSimple w:instr=" SECTIONPAGES   \* MERGEFORMAT ">
      <w:r w:rsidR="00E67562" w:rsidRPr="00E67562">
        <w:rPr>
          <w:noProof/>
          <w:sz w:val="16"/>
          <w:szCs w:val="16"/>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33" w:rsidRDefault="00DB7233" w:rsidP="00D1047B">
      <w:r>
        <w:separator/>
      </w:r>
    </w:p>
    <w:p w:rsidR="00DB7233" w:rsidRDefault="00DB7233"/>
  </w:footnote>
  <w:footnote w:type="continuationSeparator" w:id="0">
    <w:p w:rsidR="00DB7233" w:rsidRDefault="00DB7233" w:rsidP="00D1047B">
      <w:r>
        <w:continuationSeparator/>
      </w:r>
    </w:p>
    <w:p w:rsidR="00DB7233" w:rsidRDefault="00DB7233"/>
  </w:footnote>
  <w:footnote w:id="1">
    <w:p w:rsidR="00A057AB" w:rsidRPr="00466E30" w:rsidRDefault="00A057AB" w:rsidP="00A057AB">
      <w:pPr>
        <w:pStyle w:val="FootnoteText"/>
        <w:rPr>
          <w:rFonts w:asciiTheme="minorHAnsi" w:hAnsiTheme="minorHAnsi" w:cstheme="minorHAnsi"/>
          <w:sz w:val="16"/>
          <w:szCs w:val="16"/>
        </w:rPr>
      </w:pPr>
      <w:r w:rsidRPr="00466E30">
        <w:rPr>
          <w:rStyle w:val="FootnoteReference"/>
          <w:rFonts w:asciiTheme="minorHAnsi" w:hAnsiTheme="minorHAnsi" w:cstheme="minorHAnsi"/>
          <w:sz w:val="16"/>
          <w:szCs w:val="16"/>
        </w:rPr>
        <w:footnoteRef/>
      </w:r>
      <w:r w:rsidRPr="00466E30">
        <w:rPr>
          <w:rFonts w:asciiTheme="minorHAnsi" w:hAnsiTheme="minorHAnsi" w:cstheme="minorHAnsi"/>
          <w:sz w:val="16"/>
          <w:szCs w:val="16"/>
        </w:rPr>
        <w:t xml:space="preserve"> Reference to antibiotic use is dependent on the sensitivity of the infective organism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F3" w:rsidRDefault="00107F55">
    <w:pPr>
      <w:pStyle w:val="Header"/>
    </w:pPr>
    <w:r>
      <w:rPr>
        <w:noProof/>
        <w:lang w:eastAsia="en-IE"/>
      </w:rPr>
      <mc:AlternateContent>
        <mc:Choice Requires="wps">
          <w:drawing>
            <wp:anchor distT="0" distB="0" distL="114300" distR="114300" simplePos="0" relativeHeight="251660288" behindDoc="0" locked="1" layoutInCell="1" allowOverlap="0">
              <wp:simplePos x="0" y="0"/>
              <wp:positionH relativeFrom="page">
                <wp:posOffset>4975860</wp:posOffset>
              </wp:positionH>
              <wp:positionV relativeFrom="page">
                <wp:posOffset>223520</wp:posOffset>
              </wp:positionV>
              <wp:extent cx="2087880" cy="1151890"/>
              <wp:effectExtent l="3810" t="4445"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2F3" w:rsidRDefault="008452F3" w:rsidP="00A85878">
                          <w:r>
                            <w:rPr>
                              <w:noProof/>
                              <w:lang w:eastAsia="en-IE"/>
                            </w:rPr>
                            <w:drawing>
                              <wp:inline distT="0" distB="0" distL="0" distR="0">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1.8pt;margin-top:17.6pt;width:164.4pt;height:9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ay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jQz1ek7lYDTfQdueoBt6LLNVHV3oviuEBebmvA9XUkp+pqSEtj55qb77OqI&#10;owzIrv8kSghDDlpYoKGSrSkdFAMBOnTp8dwZQ6WAzcCLFlEERwWc+f7Mj2LbO5ck0/VOKv2BihYZ&#10;I8USWm/hyfFOaUOHJJOLicZFzprGtr/hLzbAcdyB4HDVnBkatptPsRdvo20UOmEw3zqhl2XOKt+E&#10;zjz3F7PsOttsMv+XieuHSc3KknITZlKWH/5Z504aHzVx1pYSDSsNnKGk5H63aSQ6ElB2bj9bdDi5&#10;uLkvadgiQC6vUvKD0FsHsZPPo4UT5uHMiRde5Hh+vI7nXhiHWf4ypTvG6b+nhPoUx7NgNqrpQvpV&#10;bp793uZGkpZpmB0Na1McnZ1IYjS45aVtrSasGe1npTD0L6WAdk+Ntoo1Ih3lqofdAChGxjtRPoJ2&#10;pQBlgQph4IFRC/kTox6GR4rVjwORFKPmIwf9m0kzGXIydpNBeAFXU6wxGs2NHifSoZNsXwPy+MK4&#10;WMEbqZhV74XF6WXBQLBJnIaXmTjP/63XZcQufwMAAP//AwBQSwMEFAAGAAgAAAAhAIsFol3gAAAA&#10;CwEAAA8AAABkcnMvZG93bnJldi54bWxMj8FOwzAQRO9I/IO1SNyokxRMCXGqCsEJCTUNB45OvE2s&#10;xusQu234e9wTHFfzNPO2WM92YCecvHEkIV0kwJBapw11Ej7rt7sVMB8UaTU4Qgk/6GFdXl8VKtfu&#10;TBWedqFjsYR8riT0IYw5577t0Sq/cCNSzPZusirEc+q4ntQ5ltuBZ0kiuFWG4kKvRnzpsT3sjlbC&#10;5ouqV/P90WyrfWXq+imhd3GQ8vZm3jwDCziHPxgu+lEdyujUuCNpzwYJj6uliKiE5UMG7AKkaXYP&#10;rJGQpUIALwv+/4fyFwAA//8DAFBLAQItABQABgAIAAAAIQC2gziS/gAAAOEBAAATAAAAAAAAAAAA&#10;AAAAAAAAAABbQ29udGVudF9UeXBlc10ueG1sUEsBAi0AFAAGAAgAAAAhADj9If/WAAAAlAEAAAsA&#10;AAAAAAAAAAAAAAAALwEAAF9yZWxzLy5yZWxzUEsBAi0AFAAGAAgAAAAhAI8S5rKvAgAAqgUAAA4A&#10;AAAAAAAAAAAAAAAALgIAAGRycy9lMm9Eb2MueG1sUEsBAi0AFAAGAAgAAAAhAIsFol3gAAAACwEA&#10;AA8AAAAAAAAAAAAAAAAACQUAAGRycy9kb3ducmV2LnhtbFBLBQYAAAAABAAEAPMAAAAWBgAAAAA=&#10;" o:allowoverlap="f" filled="f" stroked="f">
              <v:textbox inset="0,0,0,0">
                <w:txbxContent>
                  <w:p w:rsidR="008452F3" w:rsidRDefault="008452F3" w:rsidP="00A85878">
                    <w:r>
                      <w:rPr>
                        <w:noProof/>
                        <w:lang w:eastAsia="en-IE"/>
                      </w:rPr>
                      <w:drawing>
                        <wp:inline distT="0" distB="0" distL="0" distR="0">
                          <wp:extent cx="2084660" cy="1158144"/>
                          <wp:effectExtent l="19050" t="0" r="0"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86" w:rsidRPr="007C4921" w:rsidRDefault="004B1986" w:rsidP="004B1986">
    <w:pPr>
      <w:pStyle w:val="HPRAS2Header"/>
    </w:pPr>
    <w:r>
      <w:t>Medicines Shortages Framework – A Multi-stakeholder Approach</w:t>
    </w:r>
  </w:p>
  <w:p w:rsidR="00894D88" w:rsidRDefault="00894D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F46EA2F2"/>
    <w:styleLink w:val="HPRAIndentedBulletedList"/>
    <w:lvl w:ilvl="0">
      <w:start w:val="1"/>
      <w:numFmt w:val="bulle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Courier New" w:hAnsi="Courier New" w:hint="default"/>
        <w:color w:val="007041" w:themeColor="accent4"/>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F074495A"/>
    <w:styleLink w:val="HPRAArabicNumerals"/>
    <w:lvl w:ilvl="0">
      <w:start w:val="1"/>
      <w:numFmt w:val="decimal"/>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lvlText w:val="o"/>
      <w:lvlJc w:val="left"/>
      <w:pPr>
        <w:tabs>
          <w:tab w:val="num" w:pos="992"/>
        </w:tabs>
        <w:ind w:left="1276" w:hanging="284"/>
      </w:pPr>
      <w:rPr>
        <w:rFonts w:ascii="Courier New" w:hAnsi="Courier New" w:hint="default"/>
        <w:color w:val="007041" w:themeColor="accent4"/>
        <w:sz w:val="20"/>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4F273D1"/>
    <w:multiLevelType w:val="hybridMultilevel"/>
    <w:tmpl w:val="AF18BEDA"/>
    <w:lvl w:ilvl="0" w:tplc="64A44ED8">
      <w:start w:val="1"/>
      <w:numFmt w:val="bullet"/>
      <w:lvlText w:val="-"/>
      <w:lvlJc w:val="left"/>
      <w:pPr>
        <w:ind w:left="720" w:hanging="360"/>
      </w:pPr>
      <w:rPr>
        <w:rFonts w:ascii="Segoe UI" w:hAnsi="Segoe UI" w:hint="default"/>
        <w:color w:val="007041" w:themeColor="accent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9108FA"/>
    <w:multiLevelType w:val="multilevel"/>
    <w:tmpl w:val="7DF458A0"/>
    <w:lvl w:ilvl="0">
      <w:start w:val="1"/>
      <w:numFmt w:val="bullet"/>
      <w:pStyle w:val="HPRAGreaterindentbulletedlis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Segoe UI" w:hAnsi="Segoe UI" w:hint="default"/>
        <w:color w:val="007041" w:themeColor="accent4"/>
        <w:sz w:val="16"/>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4" w15:restartNumberingAfterBreak="0">
    <w:nsid w:val="084606D0"/>
    <w:multiLevelType w:val="multilevel"/>
    <w:tmpl w:val="6CA8DFA6"/>
    <w:styleLink w:val="HPRALowecaseAlphabetBullet"/>
    <w:lvl w:ilvl="0">
      <w:start w:val="1"/>
      <w:numFmt w:val="lowerLetter"/>
      <w:pStyle w:val="HPRALowercaseAlphabetBulletList"/>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Segoe UI" w:hAnsi="Segoe UI" w:hint="default"/>
        <w:color w:val="007041" w:themeColor="accent4"/>
        <w:sz w:val="16"/>
      </w:rPr>
    </w:lvl>
    <w:lvl w:ilvl="3">
      <w:start w:val="1"/>
      <w:numFmt w:val="decimal"/>
      <w:lvlText w:val="(%4)"/>
      <w:lvlJc w:val="left"/>
      <w:pPr>
        <w:ind w:left="1559" w:hanging="283"/>
      </w:pPr>
      <w:rPr>
        <w:rFonts w:hint="default"/>
      </w:rPr>
    </w:lvl>
    <w:lvl w:ilvl="4">
      <w:start w:val="1"/>
      <w:numFmt w:val="lowerLetter"/>
      <w:lvlText w:val="(%5)"/>
      <w:lvlJc w:val="left"/>
      <w:pPr>
        <w:ind w:left="1843"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C4FF2"/>
    <w:multiLevelType w:val="multilevel"/>
    <w:tmpl w:val="24A2C2A8"/>
    <w:styleLink w:val="HPRAAlphabetBulletedList"/>
    <w:lvl w:ilvl="0">
      <w:start w:val="1"/>
      <w:numFmt w:val="upperLetter"/>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Courier New" w:hAnsi="Courier New" w:hint="default"/>
        <w:color w:val="007041" w:themeColor="accent4"/>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11E3115"/>
    <w:multiLevelType w:val="multilevel"/>
    <w:tmpl w:val="27044690"/>
    <w:lvl w:ilvl="0">
      <w:start w:val="1"/>
      <w:numFmt w:val="upperLetter"/>
      <w:pStyle w:val="HPRAAlphabetBulletedList0"/>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Segoe UI" w:hAnsi="Segoe UI" w:hint="default"/>
        <w:color w:val="007041" w:themeColor="accent4"/>
        <w:sz w:val="16"/>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21E08AB"/>
    <w:multiLevelType w:val="multilevel"/>
    <w:tmpl w:val="0BDAF322"/>
    <w:styleLink w:val="HPRARomanNumeralsBulletedlist"/>
    <w:lvl w:ilvl="0">
      <w:start w:val="1"/>
      <w:numFmt w:val="lowerRoman"/>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7F6F0E"/>
    <w:multiLevelType w:val="hybridMultilevel"/>
    <w:tmpl w:val="6A0CD1A6"/>
    <w:lvl w:ilvl="0" w:tplc="863C51FC">
      <w:numFmt w:val="bullet"/>
      <w:lvlText w:val="-"/>
      <w:lvlJc w:val="left"/>
      <w:pPr>
        <w:ind w:left="720" w:hanging="360"/>
      </w:pPr>
      <w:rPr>
        <w:rFonts w:ascii="Segoe UI" w:eastAsiaTheme="minorHAnsi" w:hAnsi="Segoe UI" w:cs="Segoe UI" w:hint="default"/>
        <w:color w:val="007041" w:themeColor="accent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8030B6"/>
    <w:multiLevelType w:val="multilevel"/>
    <w:tmpl w:val="B3EE4AE4"/>
    <w:styleLink w:val="Style1"/>
    <w:lvl w:ilvl="0">
      <w:start w:val="1"/>
      <w:numFmt w:val="bullet"/>
      <w:pStyle w:val="HPRABulletedLis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2E4E2F57"/>
    <w:multiLevelType w:val="multilevel"/>
    <w:tmpl w:val="EA16F702"/>
    <w:styleLink w:val="HPRANumberedList"/>
    <w:lvl w:ilvl="0">
      <w:start w:val="1"/>
      <w:numFmt w:val="decimal"/>
      <w:lvlText w:val="%1"/>
      <w:lvlJc w:val="left"/>
      <w:pPr>
        <w:ind w:left="360" w:hanging="360"/>
      </w:pPr>
      <w:rPr>
        <w:rFonts w:asciiTheme="majorHAnsi" w:hAnsiTheme="majorHAnsi" w:hint="default"/>
        <w:b/>
        <w:color w:val="007041" w:themeColor="accent4"/>
        <w:sz w:val="20"/>
      </w:rPr>
    </w:lvl>
    <w:lvl w:ilvl="1">
      <w:start w:val="1"/>
      <w:numFmt w:val="decimal"/>
      <w:lvlText w:val="%1.%2"/>
      <w:lvlJc w:val="left"/>
      <w:pPr>
        <w:ind w:left="360" w:hanging="360"/>
      </w:pPr>
      <w:rPr>
        <w:rFonts w:asciiTheme="majorHAnsi" w:hAnsiTheme="majorHAnsi" w:hint="default"/>
        <w:b/>
        <w:color w:val="007041" w:themeColor="accent4"/>
        <w:sz w:val="20"/>
      </w:rPr>
    </w:lvl>
    <w:lvl w:ilvl="2">
      <w:start w:val="1"/>
      <w:numFmt w:val="decimal"/>
      <w:lvlText w:val="%1.%2.%3"/>
      <w:lvlJc w:val="left"/>
      <w:pPr>
        <w:ind w:left="720" w:hanging="720"/>
      </w:pPr>
      <w:rPr>
        <w:rFonts w:asciiTheme="minorHAnsi" w:hAnsiTheme="minorHAnsi" w:hint="default"/>
        <w:color w:val="007041" w:themeColor="accent4"/>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87094"/>
    <w:multiLevelType w:val="multilevel"/>
    <w:tmpl w:val="7ACE9B0E"/>
    <w:lvl w:ilvl="0">
      <w:start w:val="1"/>
      <w:numFmt w:val="decimal"/>
      <w:pStyle w:val="HPRANumberedList0"/>
      <w:lvlText w:val="%1"/>
      <w:lvlJc w:val="left"/>
      <w:pPr>
        <w:ind w:left="360" w:hanging="360"/>
      </w:pPr>
      <w:rPr>
        <w:rFonts w:ascii="Segoe UI" w:hAnsi="Segoe UI" w:hint="default"/>
        <w:b w:val="0"/>
        <w:i w:val="0"/>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b/>
        <w:color w:val="007041" w:themeColor="accent4"/>
        <w:sz w:val="20"/>
      </w:rPr>
    </w:lvl>
    <w:lvl w:ilvl="3">
      <w:start w:val="1"/>
      <w:numFmt w:val="decimal"/>
      <w:lvlText w:val="%1.%2.%3.%4"/>
      <w:lvlJc w:val="left"/>
      <w:pPr>
        <w:ind w:left="720" w:hanging="720"/>
      </w:pPr>
      <w:rPr>
        <w:rFonts w:asciiTheme="minorHAnsi" w:hAnsiTheme="minorHAnsi" w:hint="default"/>
        <w:b/>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867372"/>
    <w:multiLevelType w:val="multilevel"/>
    <w:tmpl w:val="523E7228"/>
    <w:lvl w:ilvl="0">
      <w:start w:val="1"/>
      <w:numFmt w:val="lowerRoman"/>
      <w:pStyle w:val="HPRARomanNumeralsBulletedList0"/>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Segoe UI" w:hAnsi="Segoe UI" w:hint="default"/>
        <w:color w:val="007041" w:themeColor="accent4"/>
        <w:sz w:val="16"/>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C85D3C"/>
    <w:multiLevelType w:val="hybridMultilevel"/>
    <w:tmpl w:val="7F7E66EC"/>
    <w:lvl w:ilvl="0" w:tplc="C4E284A4">
      <w:start w:val="1"/>
      <w:numFmt w:val="bullet"/>
      <w:lvlText w:val="-"/>
      <w:lvlJc w:val="left"/>
      <w:pPr>
        <w:ind w:left="1080" w:hanging="360"/>
      </w:pPr>
      <w:rPr>
        <w:rFonts w:ascii="Segoe UI" w:hAnsi="Segoe UI" w:hint="default"/>
        <w:color w:val="007041" w:themeColor="accent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56041AD"/>
    <w:multiLevelType w:val="multilevel"/>
    <w:tmpl w:val="AEB6233E"/>
    <w:lvl w:ilvl="0">
      <w:start w:val="1"/>
      <w:numFmt w:val="decimal"/>
      <w:pStyle w:val="HPRAArabicNumeralBulletedList"/>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pStyle w:val="HPRAArabicnumberalbulletedlist"/>
      <w:lvlText w:val="o"/>
      <w:lvlJc w:val="left"/>
      <w:pPr>
        <w:tabs>
          <w:tab w:val="num" w:pos="992"/>
        </w:tabs>
        <w:ind w:left="1276" w:hanging="284"/>
      </w:pPr>
      <w:rPr>
        <w:rFonts w:ascii="Segoe UI" w:hAnsi="Segoe UI" w:hint="default"/>
        <w:color w:val="007041" w:themeColor="accent4"/>
        <w:sz w:val="16"/>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50A75BB8"/>
    <w:multiLevelType w:val="hybridMultilevel"/>
    <w:tmpl w:val="3DD44DA6"/>
    <w:lvl w:ilvl="0" w:tplc="67D61AFA">
      <w:start w:val="1"/>
      <w:numFmt w:val="bullet"/>
      <w:lvlText w:val="-"/>
      <w:lvlJc w:val="left"/>
      <w:pPr>
        <w:ind w:left="1800" w:hanging="360"/>
      </w:pPr>
      <w:rPr>
        <w:rFonts w:ascii="Segoe UI" w:hAnsi="Segoe UI" w:hint="default"/>
        <w:color w:val="007041" w:themeColor="accent4"/>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55FF616B"/>
    <w:multiLevelType w:val="hybridMultilevel"/>
    <w:tmpl w:val="F27AB528"/>
    <w:lvl w:ilvl="0" w:tplc="712AC6A0">
      <w:numFmt w:val="bullet"/>
      <w:lvlText w:val="-"/>
      <w:lvlJc w:val="left"/>
      <w:pPr>
        <w:ind w:left="720" w:hanging="360"/>
      </w:pPr>
      <w:rPr>
        <w:rFonts w:ascii="Segoe UI" w:eastAsiaTheme="minorHAnsi" w:hAnsi="Segoe UI" w:cs="Segoe UI" w:hint="default"/>
        <w:color w:val="007041" w:themeColor="accent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737E39"/>
    <w:multiLevelType w:val="multilevel"/>
    <w:tmpl w:val="F7E49264"/>
    <w:styleLink w:val="IndentedBulletedList"/>
    <w:lvl w:ilvl="0">
      <w:start w:val="1"/>
      <w:numFmt w:val="bulle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Courier New" w:hAnsi="Courier New" w:hint="default"/>
        <w:color w:val="007041" w:themeColor="accent4"/>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8" w15:restartNumberingAfterBreak="0">
    <w:nsid w:val="69D02B78"/>
    <w:multiLevelType w:val="multilevel"/>
    <w:tmpl w:val="80F47F14"/>
    <w:lvl w:ilvl="0">
      <w:start w:val="1"/>
      <w:numFmt w:val="decimal"/>
      <w:pStyle w:val="HPRAHeadingL1"/>
      <w:lvlText w:val="%1"/>
      <w:lvlJc w:val="left"/>
      <w:pPr>
        <w:ind w:left="709" w:hanging="709"/>
      </w:pPr>
      <w:rPr>
        <w:rFonts w:asciiTheme="majorHAnsi" w:hAnsiTheme="majorHAnsi" w:hint="default"/>
        <w:b/>
        <w:color w:val="007041" w:themeColor="accent4"/>
        <w:sz w:val="20"/>
      </w:rPr>
    </w:lvl>
    <w:lvl w:ilvl="1">
      <w:start w:val="1"/>
      <w:numFmt w:val="decimal"/>
      <w:pStyle w:val="HPRAHeadingL2"/>
      <w:lvlText w:val="%1.%2"/>
      <w:lvlJc w:val="left"/>
      <w:pPr>
        <w:ind w:left="709" w:hanging="709"/>
      </w:pPr>
      <w:rPr>
        <w:rFonts w:asciiTheme="majorHAnsi" w:hAnsiTheme="majorHAnsi" w:hint="default"/>
        <w:b/>
        <w:color w:val="007041" w:themeColor="accent4"/>
        <w:sz w:val="20"/>
      </w:rPr>
    </w:lvl>
    <w:lvl w:ilvl="2">
      <w:start w:val="1"/>
      <w:numFmt w:val="decimal"/>
      <w:pStyle w:val="HPRAHeadingL3"/>
      <w:lvlText w:val="%1.%2.%3"/>
      <w:lvlJc w:val="left"/>
      <w:pPr>
        <w:ind w:left="709" w:hanging="709"/>
      </w:pPr>
      <w:rPr>
        <w:rFonts w:asciiTheme="minorHAnsi" w:hAnsiTheme="minorHAnsi" w:hint="default"/>
        <w:color w:val="007041" w:themeColor="accent4"/>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3B1D89"/>
    <w:multiLevelType w:val="multilevel"/>
    <w:tmpl w:val="B3EE4AE4"/>
    <w:numStyleLink w:val="Style1"/>
  </w:abstractNum>
  <w:abstractNum w:abstractNumId="20" w15:restartNumberingAfterBreak="0">
    <w:nsid w:val="6E9650B6"/>
    <w:multiLevelType w:val="multilevel"/>
    <w:tmpl w:val="E208E3AE"/>
    <w:lvl w:ilvl="0">
      <w:start w:val="1"/>
      <w:numFmt w:val="bullet"/>
      <w:pStyle w:val="HPRAIndentedBulletLis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Segoe UI" w:hAnsi="Segoe UI" w:hint="default"/>
        <w:color w:val="007041" w:themeColor="accent4"/>
        <w:sz w:val="16"/>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67B30FC"/>
    <w:multiLevelType w:val="hybridMultilevel"/>
    <w:tmpl w:val="885E04DC"/>
    <w:lvl w:ilvl="0" w:tplc="87BA8C2A">
      <w:start w:val="1"/>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4"/>
  </w:num>
  <w:num w:numId="5">
    <w:abstractNumId w:val="7"/>
  </w:num>
  <w:num w:numId="6">
    <w:abstractNumId w:val="5"/>
  </w:num>
  <w:num w:numId="7">
    <w:abstractNumId w:val="1"/>
  </w:num>
  <w:num w:numId="8">
    <w:abstractNumId w:val="17"/>
  </w:num>
  <w:num w:numId="9">
    <w:abstractNumId w:val="6"/>
  </w:num>
  <w:num w:numId="10">
    <w:abstractNumId w:val="14"/>
  </w:num>
  <w:num w:numId="11">
    <w:abstractNumId w:val="0"/>
  </w:num>
  <w:num w:numId="12">
    <w:abstractNumId w:val="9"/>
  </w:num>
  <w:num w:numId="13">
    <w:abstractNumId w:val="19"/>
  </w:num>
  <w:num w:numId="14">
    <w:abstractNumId w:val="20"/>
  </w:num>
  <w:num w:numId="15">
    <w:abstractNumId w:val="3"/>
  </w:num>
  <w:num w:numId="16">
    <w:abstractNumId w:val="12"/>
  </w:num>
  <w:num w:numId="17">
    <w:abstractNumId w:val="16"/>
  </w:num>
  <w:num w:numId="18">
    <w:abstractNumId w:val="8"/>
  </w:num>
  <w:num w:numId="19">
    <w:abstractNumId w:val="21"/>
  </w:num>
  <w:num w:numId="20">
    <w:abstractNumId w:val="13"/>
  </w:num>
  <w:num w:numId="21">
    <w:abstractNumId w:val="15"/>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3E"/>
    <w:rsid w:val="00002EAB"/>
    <w:rsid w:val="0002108B"/>
    <w:rsid w:val="00032408"/>
    <w:rsid w:val="00057349"/>
    <w:rsid w:val="00060657"/>
    <w:rsid w:val="00064F41"/>
    <w:rsid w:val="00065303"/>
    <w:rsid w:val="00075D6B"/>
    <w:rsid w:val="00084F62"/>
    <w:rsid w:val="00096948"/>
    <w:rsid w:val="000A5F7E"/>
    <w:rsid w:val="000A7D3E"/>
    <w:rsid w:val="000B06B3"/>
    <w:rsid w:val="000B1F43"/>
    <w:rsid w:val="000B7861"/>
    <w:rsid w:val="000C3A36"/>
    <w:rsid w:val="000E4472"/>
    <w:rsid w:val="000F00D5"/>
    <w:rsid w:val="000F12C8"/>
    <w:rsid w:val="000F6F98"/>
    <w:rsid w:val="00101CA5"/>
    <w:rsid w:val="00107CB5"/>
    <w:rsid w:val="00107F55"/>
    <w:rsid w:val="00120D1C"/>
    <w:rsid w:val="001243A1"/>
    <w:rsid w:val="00142FF7"/>
    <w:rsid w:val="00171907"/>
    <w:rsid w:val="00184400"/>
    <w:rsid w:val="00187822"/>
    <w:rsid w:val="00193F03"/>
    <w:rsid w:val="0019428B"/>
    <w:rsid w:val="001E433D"/>
    <w:rsid w:val="001F2CC0"/>
    <w:rsid w:val="001F7219"/>
    <w:rsid w:val="00203343"/>
    <w:rsid w:val="00211783"/>
    <w:rsid w:val="002127A6"/>
    <w:rsid w:val="002133BF"/>
    <w:rsid w:val="00224180"/>
    <w:rsid w:val="0022662E"/>
    <w:rsid w:val="00236A19"/>
    <w:rsid w:val="00241C37"/>
    <w:rsid w:val="00242D63"/>
    <w:rsid w:val="00244916"/>
    <w:rsid w:val="00247336"/>
    <w:rsid w:val="002538A2"/>
    <w:rsid w:val="00257547"/>
    <w:rsid w:val="00262175"/>
    <w:rsid w:val="00262AE4"/>
    <w:rsid w:val="00270425"/>
    <w:rsid w:val="002853F3"/>
    <w:rsid w:val="00290E86"/>
    <w:rsid w:val="0029394D"/>
    <w:rsid w:val="00295E03"/>
    <w:rsid w:val="00297385"/>
    <w:rsid w:val="002A6CD2"/>
    <w:rsid w:val="002C5117"/>
    <w:rsid w:val="002D3DFE"/>
    <w:rsid w:val="002F2483"/>
    <w:rsid w:val="00302433"/>
    <w:rsid w:val="003066AF"/>
    <w:rsid w:val="00321058"/>
    <w:rsid w:val="003429F3"/>
    <w:rsid w:val="003522D8"/>
    <w:rsid w:val="003632F0"/>
    <w:rsid w:val="003650B6"/>
    <w:rsid w:val="00365679"/>
    <w:rsid w:val="0036771C"/>
    <w:rsid w:val="0036784E"/>
    <w:rsid w:val="00370C8F"/>
    <w:rsid w:val="00387945"/>
    <w:rsid w:val="00390487"/>
    <w:rsid w:val="003B5519"/>
    <w:rsid w:val="003C60B7"/>
    <w:rsid w:val="0041659A"/>
    <w:rsid w:val="00420F7F"/>
    <w:rsid w:val="004222DA"/>
    <w:rsid w:val="00422AEA"/>
    <w:rsid w:val="004636C3"/>
    <w:rsid w:val="00490D2E"/>
    <w:rsid w:val="004964D0"/>
    <w:rsid w:val="004A3E13"/>
    <w:rsid w:val="004A417B"/>
    <w:rsid w:val="004B1144"/>
    <w:rsid w:val="004B1986"/>
    <w:rsid w:val="004B4377"/>
    <w:rsid w:val="004B5E57"/>
    <w:rsid w:val="004D2C1B"/>
    <w:rsid w:val="00505327"/>
    <w:rsid w:val="00506B31"/>
    <w:rsid w:val="00525322"/>
    <w:rsid w:val="00525DAA"/>
    <w:rsid w:val="00533BA3"/>
    <w:rsid w:val="005414F9"/>
    <w:rsid w:val="00560286"/>
    <w:rsid w:val="00570F9A"/>
    <w:rsid w:val="00573170"/>
    <w:rsid w:val="00580F8A"/>
    <w:rsid w:val="005920D6"/>
    <w:rsid w:val="00597674"/>
    <w:rsid w:val="005A7A86"/>
    <w:rsid w:val="00603DF8"/>
    <w:rsid w:val="006338CF"/>
    <w:rsid w:val="0065160E"/>
    <w:rsid w:val="006527B0"/>
    <w:rsid w:val="00653321"/>
    <w:rsid w:val="00653886"/>
    <w:rsid w:val="00681745"/>
    <w:rsid w:val="00683C21"/>
    <w:rsid w:val="006A53C5"/>
    <w:rsid w:val="006A5882"/>
    <w:rsid w:val="006B790D"/>
    <w:rsid w:val="006E5987"/>
    <w:rsid w:val="007074A2"/>
    <w:rsid w:val="007119C3"/>
    <w:rsid w:val="00716B9E"/>
    <w:rsid w:val="00726FA2"/>
    <w:rsid w:val="007314A0"/>
    <w:rsid w:val="00744093"/>
    <w:rsid w:val="0074426F"/>
    <w:rsid w:val="00754881"/>
    <w:rsid w:val="00762A13"/>
    <w:rsid w:val="007909A8"/>
    <w:rsid w:val="0079143B"/>
    <w:rsid w:val="007A2BEC"/>
    <w:rsid w:val="007A70AD"/>
    <w:rsid w:val="007B53EB"/>
    <w:rsid w:val="007B6906"/>
    <w:rsid w:val="007C1EC3"/>
    <w:rsid w:val="007C4921"/>
    <w:rsid w:val="007C4EF4"/>
    <w:rsid w:val="007E4CFC"/>
    <w:rsid w:val="007F0300"/>
    <w:rsid w:val="007F2BF8"/>
    <w:rsid w:val="0080014C"/>
    <w:rsid w:val="00807642"/>
    <w:rsid w:val="00812927"/>
    <w:rsid w:val="00820BEB"/>
    <w:rsid w:val="008452F3"/>
    <w:rsid w:val="0085553E"/>
    <w:rsid w:val="00855858"/>
    <w:rsid w:val="0086409F"/>
    <w:rsid w:val="0088278B"/>
    <w:rsid w:val="00894D88"/>
    <w:rsid w:val="008A32D3"/>
    <w:rsid w:val="008B6C3E"/>
    <w:rsid w:val="008C33C4"/>
    <w:rsid w:val="00902A84"/>
    <w:rsid w:val="00931994"/>
    <w:rsid w:val="0094175E"/>
    <w:rsid w:val="009545E0"/>
    <w:rsid w:val="009558EA"/>
    <w:rsid w:val="00965F7F"/>
    <w:rsid w:val="00981863"/>
    <w:rsid w:val="00992748"/>
    <w:rsid w:val="009C499F"/>
    <w:rsid w:val="009D31FD"/>
    <w:rsid w:val="009E6183"/>
    <w:rsid w:val="009F1613"/>
    <w:rsid w:val="00A057AB"/>
    <w:rsid w:val="00A13EC4"/>
    <w:rsid w:val="00A274F0"/>
    <w:rsid w:val="00A30F08"/>
    <w:rsid w:val="00A559F8"/>
    <w:rsid w:val="00A562DD"/>
    <w:rsid w:val="00A65836"/>
    <w:rsid w:val="00A85878"/>
    <w:rsid w:val="00A91485"/>
    <w:rsid w:val="00AC35C5"/>
    <w:rsid w:val="00AD6166"/>
    <w:rsid w:val="00AE51B8"/>
    <w:rsid w:val="00AF7017"/>
    <w:rsid w:val="00B04B17"/>
    <w:rsid w:val="00B11F79"/>
    <w:rsid w:val="00B20341"/>
    <w:rsid w:val="00B32D3A"/>
    <w:rsid w:val="00B4396D"/>
    <w:rsid w:val="00B47B2C"/>
    <w:rsid w:val="00B51A30"/>
    <w:rsid w:val="00B53B32"/>
    <w:rsid w:val="00B56076"/>
    <w:rsid w:val="00B64371"/>
    <w:rsid w:val="00B65256"/>
    <w:rsid w:val="00B70639"/>
    <w:rsid w:val="00B77DAC"/>
    <w:rsid w:val="00B912B2"/>
    <w:rsid w:val="00BC11DB"/>
    <w:rsid w:val="00C53B20"/>
    <w:rsid w:val="00C64532"/>
    <w:rsid w:val="00C6483E"/>
    <w:rsid w:val="00C662EC"/>
    <w:rsid w:val="00C97A08"/>
    <w:rsid w:val="00CA1F2A"/>
    <w:rsid w:val="00CA36C3"/>
    <w:rsid w:val="00CB12E9"/>
    <w:rsid w:val="00CB1FE8"/>
    <w:rsid w:val="00CB4B8C"/>
    <w:rsid w:val="00CC030C"/>
    <w:rsid w:val="00CC0CD1"/>
    <w:rsid w:val="00CC2063"/>
    <w:rsid w:val="00CF1ACF"/>
    <w:rsid w:val="00D1047B"/>
    <w:rsid w:val="00D13731"/>
    <w:rsid w:val="00D14B2A"/>
    <w:rsid w:val="00D32817"/>
    <w:rsid w:val="00D464D8"/>
    <w:rsid w:val="00D53906"/>
    <w:rsid w:val="00D631BB"/>
    <w:rsid w:val="00D64A7F"/>
    <w:rsid w:val="00D77F6E"/>
    <w:rsid w:val="00DA3FE0"/>
    <w:rsid w:val="00DB7233"/>
    <w:rsid w:val="00DC78DC"/>
    <w:rsid w:val="00DD3DB8"/>
    <w:rsid w:val="00DE3813"/>
    <w:rsid w:val="00DE716A"/>
    <w:rsid w:val="00E152A1"/>
    <w:rsid w:val="00E31018"/>
    <w:rsid w:val="00E3252E"/>
    <w:rsid w:val="00E336CD"/>
    <w:rsid w:val="00E401F0"/>
    <w:rsid w:val="00E50FE1"/>
    <w:rsid w:val="00E67562"/>
    <w:rsid w:val="00E70A22"/>
    <w:rsid w:val="00E746D3"/>
    <w:rsid w:val="00E82AD9"/>
    <w:rsid w:val="00E91BAD"/>
    <w:rsid w:val="00EA0F1E"/>
    <w:rsid w:val="00EA4CD3"/>
    <w:rsid w:val="00EC4B1A"/>
    <w:rsid w:val="00ED1871"/>
    <w:rsid w:val="00ED3069"/>
    <w:rsid w:val="00ED3863"/>
    <w:rsid w:val="00EE02A5"/>
    <w:rsid w:val="00EF6341"/>
    <w:rsid w:val="00F03A83"/>
    <w:rsid w:val="00F339A5"/>
    <w:rsid w:val="00F71F07"/>
    <w:rsid w:val="00F75741"/>
    <w:rsid w:val="00F9380C"/>
    <w:rsid w:val="00FB0B45"/>
    <w:rsid w:val="00FC2E16"/>
    <w:rsid w:val="00FD16C1"/>
    <w:rsid w:val="00FF7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7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203343"/>
  </w:style>
  <w:style w:type="paragraph" w:styleId="Heading1">
    <w:name w:val="heading 1"/>
    <w:basedOn w:val="Normal"/>
    <w:next w:val="Normal"/>
    <w:link w:val="Heading1Char"/>
    <w:uiPriority w:val="9"/>
    <w:semiHidden/>
    <w:qFormat/>
    <w:rsid w:val="00D13731"/>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2">
    <w:name w:val="heading 2"/>
    <w:basedOn w:val="Normal"/>
    <w:next w:val="Normal"/>
    <w:link w:val="Heading2Char"/>
    <w:uiPriority w:val="13"/>
    <w:semiHidden/>
    <w:qFormat/>
    <w:rsid w:val="00D13731"/>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uiPriority w:val="9"/>
    <w:semiHidden/>
    <w:unhideWhenUsed/>
    <w:qFormat/>
    <w:rsid w:val="00D13731"/>
    <w:pPr>
      <w:keepNext/>
      <w:keepLines/>
      <w:spacing w:before="200"/>
      <w:outlineLvl w:val="2"/>
    </w:pPr>
    <w:rPr>
      <w:rFonts w:asciiTheme="majorHAnsi" w:eastAsiaTheme="majorEastAsia" w:hAnsiTheme="majorHAnsi" w:cstheme="majorBidi"/>
      <w:b/>
      <w:bCs/>
      <w:color w:val="00BF6F" w:themeColor="accent1"/>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asciiTheme="majorHAnsi" w:eastAsiaTheme="majorEastAsia" w:hAnsiTheme="majorHAnsi" w:cstheme="majorBidi"/>
      <w:b/>
      <w:bCs/>
      <w:i/>
      <w:iCs/>
      <w:color w:val="00BF6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7B"/>
    <w:pPr>
      <w:tabs>
        <w:tab w:val="center" w:pos="4513"/>
        <w:tab w:val="right" w:pos="9026"/>
      </w:tabs>
    </w:pPr>
  </w:style>
  <w:style w:type="character" w:customStyle="1" w:styleId="HeaderChar">
    <w:name w:val="Header Char"/>
    <w:basedOn w:val="DefaultParagraphFont"/>
    <w:link w:val="Header"/>
    <w:uiPriority w:val="99"/>
    <w:rsid w:val="00D1047B"/>
  </w:style>
  <w:style w:type="paragraph" w:styleId="Footer">
    <w:name w:val="footer"/>
    <w:basedOn w:val="Normal"/>
    <w:link w:val="FooterChar"/>
    <w:uiPriority w:val="99"/>
    <w:semiHidden/>
    <w:rsid w:val="00D1047B"/>
    <w:pPr>
      <w:tabs>
        <w:tab w:val="center" w:pos="4513"/>
        <w:tab w:val="right" w:pos="9026"/>
      </w:tabs>
    </w:pPr>
  </w:style>
  <w:style w:type="character" w:customStyle="1" w:styleId="FooterChar">
    <w:name w:val="Footer Char"/>
    <w:basedOn w:val="DefaultParagraphFont"/>
    <w:link w:val="Footer"/>
    <w:uiPriority w:val="99"/>
    <w:semiHidden/>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4964D0"/>
    <w:rPr>
      <w:color w:val="004089" w:themeColor="accent3" w:themeShade="BF"/>
      <w:u w:val="none"/>
    </w:rPr>
  </w:style>
  <w:style w:type="table" w:styleId="LightList-Accent5">
    <w:name w:val="Light List Accent 5"/>
    <w:basedOn w:val="TableNormal"/>
    <w:uiPriority w:val="61"/>
    <w:rsid w:val="000E4472"/>
    <w:tblPr>
      <w:tblStyleRowBandSize w:val="1"/>
      <w:tblStyleColBandSize w:val="1"/>
      <w:tblBorders>
        <w:top w:val="single" w:sz="8" w:space="0" w:color="FF69B4" w:themeColor="accent5"/>
        <w:left w:val="single" w:sz="8" w:space="0" w:color="FF69B4" w:themeColor="accent5"/>
        <w:bottom w:val="single" w:sz="8" w:space="0" w:color="FF69B4" w:themeColor="accent5"/>
        <w:right w:val="single" w:sz="8" w:space="0" w:color="FF69B4" w:themeColor="accent5"/>
      </w:tblBorders>
    </w:tblPr>
    <w:tblStylePr w:type="firstRow">
      <w:pPr>
        <w:spacing w:before="0" w:after="0" w:line="240" w:lineRule="auto"/>
      </w:pPr>
      <w:rPr>
        <w:b/>
        <w:bCs/>
        <w:color w:val="FFFFFF" w:themeColor="background1"/>
      </w:rPr>
      <w:tblPr/>
      <w:tcPr>
        <w:shd w:val="clear" w:color="auto" w:fill="FF69B4" w:themeFill="accent5"/>
      </w:tcPr>
    </w:tblStylePr>
    <w:tblStylePr w:type="lastRow">
      <w:pPr>
        <w:spacing w:before="0" w:after="0" w:line="240" w:lineRule="auto"/>
      </w:pPr>
      <w:rPr>
        <w:b/>
        <w:bCs/>
      </w:rPr>
      <w:tblPr/>
      <w:tcPr>
        <w:tcBorders>
          <w:top w:val="double" w:sz="6" w:space="0" w:color="FF69B4" w:themeColor="accent5"/>
          <w:left w:val="single" w:sz="8" w:space="0" w:color="FF69B4" w:themeColor="accent5"/>
          <w:bottom w:val="single" w:sz="8" w:space="0" w:color="FF69B4" w:themeColor="accent5"/>
          <w:right w:val="single" w:sz="8" w:space="0" w:color="FF69B4" w:themeColor="accent5"/>
        </w:tcBorders>
      </w:tcPr>
    </w:tblStylePr>
    <w:tblStylePr w:type="firstCol">
      <w:rPr>
        <w:b/>
        <w:bCs/>
      </w:rPr>
    </w:tblStylePr>
    <w:tblStylePr w:type="lastCol">
      <w:rPr>
        <w:b/>
        <w:bCs/>
      </w:rPr>
    </w:tblStylePr>
    <w:tblStylePr w:type="band1Vert">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tblStylePr w:type="band1Horz">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ascii="Segoe UI" w:hAnsi="Segoe UI" w:cs="Segoe UI"/>
      <w:b/>
      <w:bCs/>
      <w:color w:val="007041" w:themeColor="accent4"/>
      <w:sz w:val="18"/>
      <w:szCs w:val="18"/>
    </w:rPr>
  </w:style>
  <w:style w:type="paragraph" w:customStyle="1" w:styleId="HPRAFPFooter">
    <w:name w:val="HPRA_FP_Footer"/>
    <w:basedOn w:val="Footer"/>
    <w:qFormat/>
    <w:rsid w:val="00B20341"/>
    <w:rPr>
      <w:rFonts w:ascii="Segoe UI" w:hAnsi="Segoe UI" w:cs="Segoe UI"/>
      <w:color w:val="707173" w:themeColor="text2"/>
      <w:sz w:val="17"/>
      <w:szCs w:val="17"/>
    </w:rPr>
  </w:style>
  <w:style w:type="paragraph" w:customStyle="1" w:styleId="HPRAS2Header">
    <w:name w:val="HPRA_S2_Header"/>
    <w:basedOn w:val="Normal"/>
    <w:qFormat/>
    <w:rsid w:val="007C4921"/>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S2Footer">
    <w:name w:val="HPRA_S2_Footer"/>
    <w:basedOn w:val="Footer"/>
    <w:qFormat/>
    <w:rsid w:val="00C53B20"/>
    <w:pPr>
      <w:tabs>
        <w:tab w:val="clear" w:pos="4513"/>
        <w:tab w:val="clear" w:pos="9026"/>
        <w:tab w:val="right" w:pos="8278"/>
      </w:tabs>
    </w:pPr>
    <w:rPr>
      <w:rFonts w:ascii="Segoe UI" w:hAnsi="Segoe UI" w:cs="Segoe UI"/>
      <w:color w:val="707173" w:themeColor="text2"/>
      <w:sz w:val="18"/>
      <w:szCs w:val="18"/>
    </w:rPr>
  </w:style>
  <w:style w:type="character" w:customStyle="1" w:styleId="Heading1Char">
    <w:name w:val="Heading 1 Char"/>
    <w:basedOn w:val="DefaultParagraphFont"/>
    <w:link w:val="Heading1"/>
    <w:uiPriority w:val="9"/>
    <w:semiHidden/>
    <w:rsid w:val="00365679"/>
    <w:rPr>
      <w:rFonts w:asciiTheme="majorHAnsi" w:eastAsiaTheme="majorEastAsia" w:hAnsiTheme="majorHAnsi" w:cstheme="majorBidi"/>
      <w:b/>
      <w:bCs/>
      <w:color w:val="008F52" w:themeColor="accent1" w:themeShade="BF"/>
      <w:sz w:val="28"/>
      <w:szCs w:val="28"/>
    </w:rPr>
  </w:style>
  <w:style w:type="character" w:customStyle="1" w:styleId="Heading2Char">
    <w:name w:val="Heading 2 Char"/>
    <w:basedOn w:val="DefaultParagraphFont"/>
    <w:link w:val="Heading2"/>
    <w:uiPriority w:val="13"/>
    <w:semiHidden/>
    <w:rsid w:val="007C1EC3"/>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uiPriority w:val="9"/>
    <w:semiHidden/>
    <w:rsid w:val="00D13731"/>
    <w:rPr>
      <w:rFonts w:asciiTheme="majorHAnsi" w:eastAsiaTheme="majorEastAsia" w:hAnsiTheme="majorHAnsi" w:cstheme="majorBidi"/>
      <w:b/>
      <w:bCs/>
      <w:color w:val="00BF6F" w:themeColor="accent1"/>
    </w:rPr>
  </w:style>
  <w:style w:type="character" w:customStyle="1" w:styleId="Heading4Char">
    <w:name w:val="Heading 4 Char"/>
    <w:basedOn w:val="DefaultParagraphFont"/>
    <w:link w:val="Heading4"/>
    <w:uiPriority w:val="9"/>
    <w:semiHidden/>
    <w:rsid w:val="00D13731"/>
    <w:rPr>
      <w:rFonts w:asciiTheme="majorHAnsi" w:eastAsiaTheme="majorEastAsia" w:hAnsiTheme="majorHAnsi" w:cstheme="majorBidi"/>
      <w:b/>
      <w:bCs/>
      <w:i/>
      <w:iCs/>
      <w:color w:val="00BF6F" w:themeColor="accent1"/>
    </w:rPr>
  </w:style>
  <w:style w:type="paragraph" w:customStyle="1" w:styleId="HPRACoverGuidefor">
    <w:name w:val="HPRA_Cover_Guide for"/>
    <w:basedOn w:val="Normal"/>
    <w:qFormat/>
    <w:rsid w:val="00B70639"/>
    <w:rPr>
      <w:rFonts w:ascii="Segoe UI" w:hAnsi="Segoe UI" w:cs="Segoe UI"/>
      <w:b/>
      <w:color w:val="707173" w:themeColor="text2"/>
      <w:sz w:val="40"/>
      <w:szCs w:val="56"/>
    </w:rPr>
  </w:style>
  <w:style w:type="paragraph" w:customStyle="1" w:styleId="HPRACoverTitle">
    <w:name w:val="HPRA_Cover_Title"/>
    <w:basedOn w:val="Normal"/>
    <w:qFormat/>
    <w:rsid w:val="00B70639"/>
    <w:pPr>
      <w:pBdr>
        <w:bottom w:val="single" w:sz="36" w:space="6" w:color="707173" w:themeColor="text2"/>
      </w:pBdr>
    </w:pPr>
    <w:rPr>
      <w:rFonts w:ascii="Segoe UI" w:hAnsi="Segoe UI" w:cs="Segoe UI"/>
      <w:b/>
      <w:bCs/>
      <w:color w:val="007041" w:themeColor="accent4"/>
      <w:sz w:val="40"/>
      <w:szCs w:val="56"/>
    </w:rPr>
  </w:style>
  <w:style w:type="paragraph" w:customStyle="1" w:styleId="HPRATOCTitle">
    <w:name w:val="HPRA_TOC_Title"/>
    <w:basedOn w:val="Normal"/>
    <w:qFormat/>
    <w:rsid w:val="009C499F"/>
    <w:rPr>
      <w:rFonts w:ascii="Segoe UI" w:hAnsi="Segoe UI" w:cs="Segoe UI"/>
      <w:b/>
      <w:bCs/>
      <w:color w:val="007041" w:themeColor="accent4"/>
      <w:sz w:val="24"/>
      <w:szCs w:val="24"/>
    </w:rPr>
  </w:style>
  <w:style w:type="paragraph" w:customStyle="1" w:styleId="HPRAHeadingL1">
    <w:name w:val="HPRA_Heading_L1"/>
    <w:basedOn w:val="ListParagraph"/>
    <w:qFormat/>
    <w:rsid w:val="0036771C"/>
    <w:pPr>
      <w:numPr>
        <w:numId w:val="3"/>
      </w:numPr>
    </w:pPr>
    <w:rPr>
      <w:rFonts w:ascii="Segoe UI" w:hAnsi="Segoe UI" w:cs="Segoe UI"/>
      <w:b/>
      <w:bCs/>
      <w:caps/>
      <w:color w:val="007041" w:themeColor="accent4"/>
      <w:sz w:val="20"/>
      <w:szCs w:val="24"/>
    </w:rPr>
  </w:style>
  <w:style w:type="paragraph" w:customStyle="1" w:styleId="HPRAHeadingL2">
    <w:name w:val="HPRA_Heading_L2"/>
    <w:basedOn w:val="ListParagraph"/>
    <w:qFormat/>
    <w:rsid w:val="001E433D"/>
    <w:pPr>
      <w:numPr>
        <w:ilvl w:val="1"/>
        <w:numId w:val="3"/>
      </w:numPr>
    </w:pPr>
    <w:rPr>
      <w:rFonts w:ascii="Segoe UI" w:hAnsi="Segoe UI" w:cs="Segoe UI"/>
      <w:b/>
      <w:bCs/>
      <w:color w:val="007041" w:themeColor="accent4"/>
      <w:sz w:val="20"/>
      <w:szCs w:val="20"/>
    </w:rPr>
  </w:style>
  <w:style w:type="paragraph" w:customStyle="1" w:styleId="HPRAHeadingL3">
    <w:name w:val="HPRA_Heading_L3"/>
    <w:basedOn w:val="ListParagraph"/>
    <w:qFormat/>
    <w:rsid w:val="00A562DD"/>
    <w:pPr>
      <w:numPr>
        <w:ilvl w:val="2"/>
        <w:numId w:val="3"/>
      </w:numPr>
    </w:pPr>
    <w:rPr>
      <w:rFonts w:ascii="Segoe UI" w:hAnsi="Segoe UI" w:cs="Segoe UI"/>
      <w:color w:val="007041" w:themeColor="accent4"/>
      <w:sz w:val="20"/>
      <w:szCs w:val="20"/>
    </w:rPr>
  </w:style>
  <w:style w:type="paragraph" w:customStyle="1" w:styleId="HPRABodyTextL4">
    <w:name w:val="HPRA_BodyText_L4"/>
    <w:basedOn w:val="ListParagraph"/>
    <w:qFormat/>
    <w:rsid w:val="00DA3FE0"/>
    <w:pPr>
      <w:numPr>
        <w:ilvl w:val="3"/>
        <w:numId w:val="3"/>
      </w:numPr>
    </w:pPr>
    <w:rPr>
      <w:rFonts w:ascii="Segoe UI" w:hAnsi="Segoe UI" w:cs="Segoe UI"/>
      <w:sz w:val="20"/>
      <w:szCs w:val="20"/>
    </w:rPr>
  </w:style>
  <w:style w:type="paragraph" w:customStyle="1" w:styleId="HPRAMainBodyText">
    <w:name w:val="HPRA_MainBodyText"/>
    <w:basedOn w:val="Normal"/>
    <w:qFormat/>
    <w:rsid w:val="00DA3FE0"/>
    <w:rPr>
      <w:rFonts w:ascii="Segoe UI" w:hAnsi="Segoe UI"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ascii="Segoe UI" w:hAnsi="Segoe UI" w:cs="Segoe UI"/>
      <w:sz w:val="20"/>
      <w:szCs w:val="20"/>
    </w:rPr>
  </w:style>
  <w:style w:type="paragraph" w:customStyle="1" w:styleId="HPRABulletedList">
    <w:name w:val="HPRA_Bulleted_List"/>
    <w:basedOn w:val="ListParagraph"/>
    <w:link w:val="HPRABulletedListChar"/>
    <w:qFormat/>
    <w:rsid w:val="007F0300"/>
    <w:pPr>
      <w:numPr>
        <w:numId w:val="13"/>
      </w:numPr>
    </w:pPr>
    <w:rPr>
      <w:rFonts w:ascii="Segoe UI" w:hAnsi="Segoe UI" w:cs="Segoe UI"/>
      <w:sz w:val="20"/>
      <w:szCs w:val="20"/>
    </w:rPr>
  </w:style>
  <w:style w:type="table" w:customStyle="1" w:styleId="HPRATableGreenHeader">
    <w:name w:val="HPRA_Table_GreenHeader"/>
    <w:basedOn w:val="TableNormal"/>
    <w:uiPriority w:val="99"/>
    <w:rsid w:val="00DE3813"/>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20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PRA_TOC 1"/>
    <w:basedOn w:val="Normal"/>
    <w:next w:val="Normal"/>
    <w:autoRedefine/>
    <w:uiPriority w:val="39"/>
    <w:unhideWhenUsed/>
    <w:rsid w:val="0080014C"/>
    <w:pPr>
      <w:tabs>
        <w:tab w:val="right" w:pos="8278"/>
      </w:tabs>
      <w:spacing w:after="100"/>
      <w:ind w:left="567" w:right="567" w:hanging="567"/>
      <w:textboxTightWrap w:val="allLines"/>
    </w:pPr>
    <w:rPr>
      <w:rFonts w:ascii="Segoe UI" w:hAnsi="Segoe UI"/>
      <w:caps/>
      <w:noProof/>
      <w:color w:val="000000" w:themeColor="text1"/>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rFonts w:ascii="Segoe UI" w:hAnsi="Segoe UI"/>
      <w:color w:val="000000" w:themeColor="text1"/>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rFonts w:ascii="Segoe UI" w:hAnsi="Segoe UI"/>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styleId="FootnoteText">
    <w:name w:val="footnote text"/>
    <w:basedOn w:val="Normal"/>
    <w:link w:val="FootnoteTextChar"/>
    <w:uiPriority w:val="99"/>
    <w:semiHidden/>
    <w:rsid w:val="00A057AB"/>
    <w:pPr>
      <w:overflowPunct w:val="0"/>
      <w:autoSpaceDE w:val="0"/>
      <w:autoSpaceDN w:val="0"/>
      <w:adjustRightInd w:val="0"/>
      <w:jc w:val="both"/>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057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057AB"/>
    <w:rPr>
      <w:vertAlign w:val="superscript"/>
    </w:rPr>
  </w:style>
  <w:style w:type="table" w:styleId="PlainTable2">
    <w:name w:val="Plain Table 2"/>
    <w:basedOn w:val="TableNormal"/>
    <w:uiPriority w:val="42"/>
    <w:rsid w:val="00A057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mailto:shortages@hpra.ie"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hpra.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445F6.CEA22070" TargetMode="External"/><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9EC1F-9A64-4335-8B84-EEF585A6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2021-07-28T14:43:00Z</dcterms:created>
  <dcterms:modified xsi:type="dcterms:W3CDTF">2021-09-02T07:49:00Z</dcterms:modified>
</cp:coreProperties>
</file>